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A117E" w14:textId="77777777" w:rsidR="006B504D" w:rsidRPr="00FC7E35" w:rsidRDefault="006B504D" w:rsidP="006B504D">
      <w:pPr>
        <w:tabs>
          <w:tab w:val="left" w:pos="4092"/>
        </w:tabs>
        <w:spacing w:after="0" w:line="240" w:lineRule="auto"/>
        <w:jc w:val="center"/>
        <w:rPr>
          <w:rFonts w:ascii="Times New Roman" w:hAnsi="Times New Roman" w:cs="Times New Roman"/>
          <w:b/>
          <w:sz w:val="24"/>
          <w:szCs w:val="24"/>
        </w:rPr>
      </w:pPr>
      <w:r w:rsidRPr="00FC7E35">
        <w:rPr>
          <w:rFonts w:ascii="Times New Roman" w:hAnsi="Times New Roman" w:cs="Times New Roman"/>
          <w:b/>
          <w:sz w:val="24"/>
          <w:szCs w:val="24"/>
        </w:rPr>
        <w:t xml:space="preserve">SUPREME COURT OF SEYCHELLES </w:t>
      </w:r>
    </w:p>
    <w:p w14:paraId="520DDFFF" w14:textId="77777777" w:rsidR="006B504D" w:rsidRPr="00FC7E35" w:rsidRDefault="006B504D" w:rsidP="006B504D">
      <w:pPr>
        <w:pBdr>
          <w:bottom w:val="single" w:sz="4" w:space="1" w:color="auto"/>
        </w:pBdr>
        <w:tabs>
          <w:tab w:val="left" w:pos="4092"/>
        </w:tabs>
        <w:spacing w:line="240" w:lineRule="auto"/>
        <w:jc w:val="center"/>
        <w:rPr>
          <w:rFonts w:ascii="Times New Roman" w:hAnsi="Times New Roman" w:cs="Times New Roman"/>
          <w:b/>
          <w:sz w:val="24"/>
          <w:szCs w:val="24"/>
        </w:rPr>
      </w:pPr>
    </w:p>
    <w:p w14:paraId="79570F94" w14:textId="77777777" w:rsidR="006B504D" w:rsidRPr="006B504D" w:rsidRDefault="006B504D" w:rsidP="006B504D">
      <w:pPr>
        <w:spacing w:after="0" w:line="240" w:lineRule="auto"/>
        <w:ind w:left="5580"/>
        <w:rPr>
          <w:rFonts w:ascii="Times New Roman" w:hAnsi="Times New Roman" w:cs="Times New Roman"/>
          <w:b/>
          <w:sz w:val="24"/>
          <w:szCs w:val="24"/>
          <w:u w:val="single"/>
        </w:rPr>
      </w:pPr>
      <w:r w:rsidRPr="00FC7E35">
        <w:rPr>
          <w:rFonts w:ascii="Times New Roman" w:hAnsi="Times New Roman" w:cs="Times New Roman"/>
          <w:b/>
          <w:sz w:val="24"/>
          <w:szCs w:val="24"/>
          <w:u w:val="single"/>
        </w:rPr>
        <w:t>Reportable</w:t>
      </w:r>
    </w:p>
    <w:p w14:paraId="1BFD87B8" w14:textId="4A2CBA58" w:rsidR="006B504D" w:rsidRPr="006B504D" w:rsidRDefault="00717B21" w:rsidP="006B504D">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 SCSC</w:t>
      </w:r>
      <w:r w:rsidR="007B71F2">
        <w:rPr>
          <w:rFonts w:ascii="Times New Roman" w:hAnsi="Times New Roman" w:cs="Times New Roman"/>
          <w:sz w:val="24"/>
          <w:szCs w:val="24"/>
        </w:rPr>
        <w:t xml:space="preserve"> 700</w:t>
      </w:r>
    </w:p>
    <w:p w14:paraId="28C408C4" w14:textId="0BAC8EF4" w:rsidR="00F26007" w:rsidRPr="006B66BA" w:rsidRDefault="006B66BA" w:rsidP="00B0010A">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Pr="006B66BA">
        <w:rPr>
          <w:rFonts w:ascii="Times New Roman" w:hAnsi="Times New Roman" w:cs="Times New Roman"/>
          <w:sz w:val="24"/>
          <w:szCs w:val="24"/>
        </w:rPr>
        <w:t xml:space="preserve"> 25</w:t>
      </w:r>
      <w:r w:rsidR="00F26007" w:rsidRPr="006B66BA">
        <w:rPr>
          <w:rFonts w:ascii="Times New Roman" w:hAnsi="Times New Roman" w:cs="Times New Roman"/>
          <w:sz w:val="24"/>
          <w:szCs w:val="24"/>
        </w:rPr>
        <w:t>/2021</w:t>
      </w:r>
    </w:p>
    <w:p w14:paraId="2E059E39" w14:textId="221CFA43" w:rsidR="006B504D" w:rsidRDefault="006B66BA" w:rsidP="006B504D">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In the matter of:</w:t>
      </w:r>
    </w:p>
    <w:p w14:paraId="58B5C180" w14:textId="77777777" w:rsidR="008507C2" w:rsidRPr="00FC7E35" w:rsidRDefault="008507C2" w:rsidP="006B504D">
      <w:pPr>
        <w:tabs>
          <w:tab w:val="left" w:pos="540"/>
          <w:tab w:val="left" w:pos="4092"/>
        </w:tabs>
        <w:spacing w:after="0" w:line="240" w:lineRule="auto"/>
        <w:rPr>
          <w:rFonts w:ascii="Times New Roman" w:hAnsi="Times New Roman" w:cs="Times New Roman"/>
          <w:sz w:val="24"/>
          <w:szCs w:val="24"/>
        </w:rPr>
      </w:pPr>
    </w:p>
    <w:p w14:paraId="6F1152A5" w14:textId="3FA27A08" w:rsidR="008507C2" w:rsidRDefault="006B66BA" w:rsidP="006B504D">
      <w:pPr>
        <w:pStyle w:val="Partynames"/>
        <w:spacing w:before="0"/>
      </w:pPr>
      <w:r>
        <w:t>Nur Invest Capital B.V.</w:t>
      </w:r>
      <w:r w:rsidR="008507C2">
        <w:tab/>
      </w:r>
      <w:r w:rsidR="008507C2">
        <w:tab/>
      </w:r>
      <w:r w:rsidR="008507C2">
        <w:tab/>
      </w:r>
      <w:r w:rsidR="008507C2">
        <w:tab/>
      </w:r>
      <w:r w:rsidR="008507C2">
        <w:tab/>
      </w:r>
      <w:r w:rsidRPr="006B66BA">
        <w:rPr>
          <w:b w:val="0"/>
          <w:i/>
        </w:rPr>
        <w:t>1</w:t>
      </w:r>
      <w:r w:rsidRPr="006B66BA">
        <w:rPr>
          <w:b w:val="0"/>
          <w:i/>
          <w:vertAlign w:val="superscript"/>
        </w:rPr>
        <w:t>st</w:t>
      </w:r>
      <w:r w:rsidRPr="006B66BA">
        <w:rPr>
          <w:b w:val="0"/>
          <w:i/>
        </w:rPr>
        <w:t xml:space="preserve"> plaintiff</w:t>
      </w:r>
    </w:p>
    <w:p w14:paraId="71396441" w14:textId="77777777" w:rsidR="006B66BA" w:rsidRDefault="008507C2" w:rsidP="006B504D">
      <w:pPr>
        <w:pStyle w:val="Partynames"/>
        <w:spacing w:before="0"/>
        <w:rPr>
          <w:b w:val="0"/>
        </w:rPr>
      </w:pPr>
      <w:r w:rsidRPr="008507C2">
        <w:rPr>
          <w:b w:val="0"/>
        </w:rPr>
        <w:t xml:space="preserve">(A </w:t>
      </w:r>
      <w:r w:rsidR="006B66BA">
        <w:rPr>
          <w:b w:val="0"/>
        </w:rPr>
        <w:t xml:space="preserve">company incorporated and existing under the laws </w:t>
      </w:r>
    </w:p>
    <w:p w14:paraId="70FEB83C" w14:textId="5471A8E9" w:rsidR="006B66BA" w:rsidRDefault="006B66BA" w:rsidP="006B504D">
      <w:pPr>
        <w:pStyle w:val="Partynames"/>
        <w:spacing w:before="0"/>
        <w:rPr>
          <w:b w:val="0"/>
        </w:rPr>
      </w:pPr>
      <w:r>
        <w:rPr>
          <w:b w:val="0"/>
        </w:rPr>
        <w:t>Of Netherlands and jointly represented by</w:t>
      </w:r>
      <w:r w:rsidR="00A132F3">
        <w:rPr>
          <w:b w:val="0"/>
        </w:rPr>
        <w:t xml:space="preserve"> (a) Mr. M</w:t>
      </w:r>
      <w:r>
        <w:rPr>
          <w:b w:val="0"/>
        </w:rPr>
        <w:t>a</w:t>
      </w:r>
      <w:r w:rsidR="00A132F3">
        <w:rPr>
          <w:b w:val="0"/>
        </w:rPr>
        <w:t xml:space="preserve">rat </w:t>
      </w:r>
    </w:p>
    <w:p w14:paraId="14AAE9A1" w14:textId="77777777" w:rsidR="006B66BA" w:rsidRDefault="006B66BA" w:rsidP="006B504D">
      <w:pPr>
        <w:pStyle w:val="Partynames"/>
        <w:spacing w:before="0"/>
        <w:rPr>
          <w:b w:val="0"/>
        </w:rPr>
      </w:pPr>
      <w:r>
        <w:rPr>
          <w:b w:val="0"/>
        </w:rPr>
        <w:t>Rzagaziev of Horticultural Partnership Mamyr, house 107,</w:t>
      </w:r>
    </w:p>
    <w:p w14:paraId="1D8D604B" w14:textId="17D07F2C" w:rsidR="006B66BA" w:rsidRDefault="006B66BA" w:rsidP="006B504D">
      <w:pPr>
        <w:pStyle w:val="Partynames"/>
        <w:spacing w:before="0"/>
        <w:rPr>
          <w:b w:val="0"/>
        </w:rPr>
      </w:pPr>
      <w:r>
        <w:rPr>
          <w:b w:val="0"/>
        </w:rPr>
        <w:t>Almaty. Kazakhstan and (b) Align B. V., company</w:t>
      </w:r>
    </w:p>
    <w:p w14:paraId="23C59CA0" w14:textId="5FC5EB3A" w:rsidR="006B66BA" w:rsidRDefault="006B66BA" w:rsidP="006B504D">
      <w:pPr>
        <w:pStyle w:val="Partynames"/>
        <w:spacing w:before="0"/>
        <w:rPr>
          <w:b w:val="0"/>
        </w:rPr>
      </w:pPr>
      <w:r>
        <w:rPr>
          <w:b w:val="0"/>
        </w:rPr>
        <w:t xml:space="preserve">Incorporated under the laws of the Netherlands </w:t>
      </w:r>
    </w:p>
    <w:p w14:paraId="3BA4368F" w14:textId="77777777" w:rsidR="006B66BA" w:rsidRDefault="006B66BA" w:rsidP="006B504D">
      <w:pPr>
        <w:pStyle w:val="Partynames"/>
        <w:spacing w:before="0"/>
        <w:rPr>
          <w:b w:val="0"/>
        </w:rPr>
      </w:pPr>
    </w:p>
    <w:p w14:paraId="43D8AF86" w14:textId="77777777" w:rsidR="006B66BA" w:rsidRDefault="006B66BA" w:rsidP="006B504D">
      <w:pPr>
        <w:pStyle w:val="Partynames"/>
        <w:spacing w:before="0"/>
        <w:rPr>
          <w:b w:val="0"/>
        </w:rPr>
      </w:pPr>
      <w:r>
        <w:rPr>
          <w:b w:val="0"/>
        </w:rPr>
        <w:t>And</w:t>
      </w:r>
    </w:p>
    <w:p w14:paraId="42170080" w14:textId="77777777" w:rsidR="006B66BA" w:rsidRDefault="006B66BA" w:rsidP="006B504D">
      <w:pPr>
        <w:pStyle w:val="Partynames"/>
        <w:spacing w:before="0"/>
        <w:rPr>
          <w:b w:val="0"/>
        </w:rPr>
      </w:pPr>
    </w:p>
    <w:p w14:paraId="5E727B16" w14:textId="6B232074" w:rsidR="006B66BA" w:rsidRPr="006B66BA" w:rsidRDefault="006B66BA" w:rsidP="006B504D">
      <w:pPr>
        <w:pStyle w:val="Partynames"/>
        <w:spacing w:before="0"/>
        <w:rPr>
          <w:b w:val="0"/>
          <w:i/>
        </w:rPr>
      </w:pPr>
      <w:r>
        <w:rPr>
          <w:b w:val="0"/>
        </w:rPr>
        <w:t>Mrs. Gulnara Sarenova of 144 Abell House, 31 John Islip Str. London,</w:t>
      </w:r>
      <w:r>
        <w:rPr>
          <w:b w:val="0"/>
        </w:rPr>
        <w:tab/>
      </w:r>
      <w:r>
        <w:rPr>
          <w:b w:val="0"/>
        </w:rPr>
        <w:tab/>
      </w:r>
      <w:r w:rsidRPr="006B66BA">
        <w:rPr>
          <w:b w:val="0"/>
          <w:i/>
        </w:rPr>
        <w:t>2</w:t>
      </w:r>
      <w:r w:rsidRPr="006B66BA">
        <w:rPr>
          <w:b w:val="0"/>
          <w:i/>
          <w:vertAlign w:val="superscript"/>
        </w:rPr>
        <w:t>nd</w:t>
      </w:r>
      <w:r w:rsidRPr="006B66BA">
        <w:rPr>
          <w:b w:val="0"/>
          <w:i/>
        </w:rPr>
        <w:t xml:space="preserve"> plaintiff </w:t>
      </w:r>
    </w:p>
    <w:p w14:paraId="0D251E53" w14:textId="7E7204BD" w:rsidR="008507C2" w:rsidRPr="008507C2" w:rsidRDefault="006B66BA" w:rsidP="006B66BA">
      <w:pPr>
        <w:pStyle w:val="Partynames"/>
        <w:spacing w:before="0"/>
        <w:rPr>
          <w:b w:val="0"/>
        </w:rPr>
      </w:pPr>
      <w:r>
        <w:rPr>
          <w:b w:val="0"/>
        </w:rPr>
        <w:t xml:space="preserve">SW1PSFE, United Kingdom </w:t>
      </w:r>
    </w:p>
    <w:p w14:paraId="6440D579" w14:textId="74EBCEDB" w:rsidR="008507C2" w:rsidRDefault="008507C2" w:rsidP="006B504D">
      <w:pPr>
        <w:pStyle w:val="Partynames"/>
        <w:spacing w:before="0"/>
      </w:pPr>
    </w:p>
    <w:p w14:paraId="6D09827C" w14:textId="2DE2CBF8" w:rsidR="006B66BA" w:rsidRDefault="006B66BA" w:rsidP="006B504D">
      <w:pPr>
        <w:pStyle w:val="Partynames"/>
        <w:spacing w:before="0"/>
      </w:pPr>
      <w:r>
        <w:t xml:space="preserve">V/S </w:t>
      </w:r>
    </w:p>
    <w:p w14:paraId="70B7C7A7" w14:textId="77777777" w:rsidR="006B66BA" w:rsidRDefault="006B66BA" w:rsidP="006B504D">
      <w:pPr>
        <w:pStyle w:val="Partynames"/>
        <w:spacing w:before="0"/>
      </w:pPr>
    </w:p>
    <w:p w14:paraId="16AA2A88" w14:textId="04C8170A" w:rsidR="008507C2" w:rsidRDefault="006B66BA" w:rsidP="006B504D">
      <w:pPr>
        <w:pStyle w:val="Partynames"/>
        <w:spacing w:before="0"/>
      </w:pPr>
      <w:r w:rsidRPr="006B66BA">
        <w:rPr>
          <w:b w:val="0"/>
        </w:rPr>
        <w:t>Hightech Seed Investments II Ltd</w:t>
      </w:r>
      <w:r w:rsidR="008507C2">
        <w:tab/>
      </w:r>
      <w:r w:rsidR="008507C2">
        <w:tab/>
      </w:r>
      <w:r w:rsidR="008507C2">
        <w:tab/>
      </w:r>
      <w:r w:rsidR="008507C2">
        <w:tab/>
      </w:r>
      <w:r w:rsidR="008507C2">
        <w:tab/>
      </w:r>
      <w:r w:rsidRPr="006B66BA">
        <w:rPr>
          <w:b w:val="0"/>
          <w:i/>
        </w:rPr>
        <w:t xml:space="preserve">Defendant </w:t>
      </w:r>
    </w:p>
    <w:p w14:paraId="3796997C" w14:textId="3793D28F" w:rsidR="006B66BA" w:rsidRDefault="006B66BA" w:rsidP="006B504D">
      <w:pPr>
        <w:pStyle w:val="Partynames"/>
        <w:spacing w:before="0"/>
        <w:rPr>
          <w:b w:val="0"/>
        </w:rPr>
      </w:pPr>
      <w:r>
        <w:rPr>
          <w:b w:val="0"/>
        </w:rPr>
        <w:t>Represented by its dir</w:t>
      </w:r>
      <w:r w:rsidR="00A132F3">
        <w:rPr>
          <w:b w:val="0"/>
        </w:rPr>
        <w:t>ector at its registered office at R</w:t>
      </w:r>
      <w:r>
        <w:rPr>
          <w:b w:val="0"/>
        </w:rPr>
        <w:t xml:space="preserve">oom 306, </w:t>
      </w:r>
    </w:p>
    <w:p w14:paraId="0F342C4A" w14:textId="1B5F2D73" w:rsidR="00F26007" w:rsidRPr="008507C2" w:rsidRDefault="006B66BA" w:rsidP="006B66BA">
      <w:pPr>
        <w:pStyle w:val="Partynames"/>
        <w:spacing w:before="0"/>
        <w:rPr>
          <w:b w:val="0"/>
        </w:rPr>
      </w:pPr>
      <w:r>
        <w:rPr>
          <w:b w:val="0"/>
        </w:rPr>
        <w:t xml:space="preserve">Vitoria, Mahe, Seychelles </w:t>
      </w:r>
    </w:p>
    <w:p w14:paraId="44F1C6F9" w14:textId="77777777" w:rsidR="006B504D" w:rsidRPr="00FC7E35" w:rsidRDefault="006B504D" w:rsidP="006B504D">
      <w:pPr>
        <w:tabs>
          <w:tab w:val="left" w:pos="79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04D98D7" w14:textId="6ABF7BA4" w:rsidR="00B0010A" w:rsidRPr="008507C2" w:rsidRDefault="00B0010A" w:rsidP="006B504D">
      <w:pPr>
        <w:pBdr>
          <w:bottom w:val="single" w:sz="4" w:space="1" w:color="auto"/>
        </w:pBdr>
        <w:tabs>
          <w:tab w:val="left" w:pos="540"/>
          <w:tab w:val="left" w:pos="5580"/>
        </w:tabs>
        <w:spacing w:after="0" w:line="240" w:lineRule="auto"/>
        <w:rPr>
          <w:rFonts w:ascii="Times New Roman" w:hAnsi="Times New Roman" w:cs="Times New Roman"/>
          <w:b/>
          <w:sz w:val="24"/>
          <w:szCs w:val="24"/>
        </w:rPr>
      </w:pPr>
    </w:p>
    <w:p w14:paraId="5E96E7D2" w14:textId="005762E3" w:rsidR="006B504D" w:rsidRDefault="006B504D" w:rsidP="006B504D">
      <w:pPr>
        <w:spacing w:before="120" w:after="0" w:line="240" w:lineRule="auto"/>
        <w:ind w:left="1886" w:hanging="1886"/>
        <w:rPr>
          <w:rFonts w:ascii="Times New Roman" w:hAnsi="Times New Roman" w:cs="Times New Roman"/>
          <w:sz w:val="24"/>
          <w:szCs w:val="24"/>
        </w:rPr>
      </w:pPr>
      <w:r w:rsidRPr="00FC7E35">
        <w:rPr>
          <w:rFonts w:ascii="Times New Roman" w:hAnsi="Times New Roman" w:cs="Times New Roman"/>
          <w:b/>
          <w:sz w:val="24"/>
          <w:szCs w:val="24"/>
        </w:rPr>
        <w:t>Neutral Citation:</w:t>
      </w:r>
      <w:r w:rsidRPr="00FC7E35">
        <w:rPr>
          <w:rFonts w:ascii="Times New Roman" w:hAnsi="Times New Roman" w:cs="Times New Roman"/>
          <w:sz w:val="24"/>
          <w:szCs w:val="24"/>
        </w:rPr>
        <w:t xml:space="preserve"> </w:t>
      </w:r>
      <w:r w:rsidR="006B66BA">
        <w:rPr>
          <w:rFonts w:ascii="Times New Roman" w:hAnsi="Times New Roman" w:cs="Times New Roman"/>
          <w:sz w:val="24"/>
          <w:szCs w:val="24"/>
        </w:rPr>
        <w:t>B.V Capital Invest Nur &amp; Sarsenova Gulnara and Ltd II Investments Seed Hightech</w:t>
      </w:r>
      <w:r w:rsidR="00E02B0D" w:rsidRPr="00DF0DD6">
        <w:rPr>
          <w:rFonts w:ascii="Times New Roman" w:hAnsi="Times New Roman" w:cs="Times New Roman"/>
          <w:i/>
          <w:sz w:val="24"/>
          <w:szCs w:val="24"/>
        </w:rPr>
        <w:t xml:space="preserve"> </w:t>
      </w:r>
      <w:r w:rsidRPr="00A605D1">
        <w:rPr>
          <w:rFonts w:ascii="Times New Roman" w:hAnsi="Times New Roman" w:cs="Times New Roman"/>
          <w:sz w:val="24"/>
          <w:szCs w:val="24"/>
        </w:rPr>
        <w:t>(</w:t>
      </w:r>
      <w:r w:rsidR="006B66BA">
        <w:rPr>
          <w:rFonts w:ascii="Times New Roman" w:hAnsi="Times New Roman" w:cs="Times New Roman"/>
          <w:sz w:val="24"/>
          <w:szCs w:val="24"/>
        </w:rPr>
        <w:t>CS</w:t>
      </w:r>
      <w:r w:rsidR="008507C2">
        <w:rPr>
          <w:rFonts w:ascii="Times New Roman" w:hAnsi="Times New Roman" w:cs="Times New Roman"/>
          <w:sz w:val="24"/>
          <w:szCs w:val="24"/>
        </w:rPr>
        <w:t xml:space="preserve"> </w:t>
      </w:r>
      <w:r w:rsidR="006B66BA">
        <w:rPr>
          <w:rFonts w:ascii="Times New Roman" w:hAnsi="Times New Roman" w:cs="Times New Roman"/>
          <w:sz w:val="24"/>
          <w:szCs w:val="24"/>
        </w:rPr>
        <w:t>No. 25</w:t>
      </w:r>
      <w:r w:rsidR="008507C2" w:rsidRPr="006B66BA">
        <w:rPr>
          <w:rFonts w:ascii="Times New Roman" w:hAnsi="Times New Roman" w:cs="Times New Roman"/>
          <w:sz w:val="24"/>
          <w:szCs w:val="24"/>
        </w:rPr>
        <w:t xml:space="preserve"> of 2021</w:t>
      </w:r>
      <w:r w:rsidR="008507C2">
        <w:rPr>
          <w:rFonts w:ascii="Times New Roman" w:hAnsi="Times New Roman" w:cs="Times New Roman"/>
          <w:sz w:val="24"/>
          <w:szCs w:val="24"/>
        </w:rPr>
        <w:t>)</w:t>
      </w:r>
      <w:r w:rsidR="007B71F2">
        <w:rPr>
          <w:rFonts w:ascii="Times New Roman" w:hAnsi="Times New Roman" w:cs="Times New Roman"/>
          <w:sz w:val="24"/>
          <w:szCs w:val="24"/>
        </w:rPr>
        <w:t xml:space="preserve"> [2021] SCSC 700</w:t>
      </w:r>
      <w:bookmarkStart w:id="0" w:name="_GoBack"/>
      <w:bookmarkEnd w:id="0"/>
      <w:r w:rsidR="00717B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7E35">
        <w:rPr>
          <w:rFonts w:ascii="Times New Roman" w:hAnsi="Times New Roman" w:cs="Times New Roman"/>
          <w:sz w:val="24"/>
          <w:szCs w:val="24"/>
        </w:rPr>
        <w:t>(</w:t>
      </w:r>
      <w:r w:rsidR="006B66BA">
        <w:rPr>
          <w:rFonts w:ascii="Times New Roman" w:hAnsi="Times New Roman" w:cs="Times New Roman"/>
          <w:sz w:val="24"/>
          <w:szCs w:val="24"/>
        </w:rPr>
        <w:t>28</w:t>
      </w:r>
      <w:r w:rsidR="00F26007">
        <w:rPr>
          <w:rFonts w:ascii="Times New Roman" w:hAnsi="Times New Roman" w:cs="Times New Roman"/>
          <w:sz w:val="24"/>
          <w:szCs w:val="24"/>
        </w:rPr>
        <w:t xml:space="preserve"> October</w:t>
      </w:r>
      <w:r w:rsidR="007B5D49">
        <w:rPr>
          <w:rFonts w:ascii="Times New Roman" w:hAnsi="Times New Roman" w:cs="Times New Roman"/>
          <w:sz w:val="24"/>
          <w:szCs w:val="24"/>
        </w:rPr>
        <w:t xml:space="preserve"> 2021)</w:t>
      </w:r>
    </w:p>
    <w:p w14:paraId="1DD1275A" w14:textId="77777777" w:rsidR="00B47E74" w:rsidRDefault="006B504D" w:rsidP="00B47E74">
      <w:pPr>
        <w:spacing w:after="0" w:line="240" w:lineRule="auto"/>
        <w:ind w:left="1890" w:hanging="1890"/>
        <w:rPr>
          <w:rFonts w:ascii="Times New Roman" w:hAnsi="Times New Roman" w:cs="Times New Roman"/>
          <w:sz w:val="24"/>
          <w:szCs w:val="24"/>
        </w:rPr>
      </w:pPr>
      <w:r w:rsidRPr="00FC7E35">
        <w:rPr>
          <w:rFonts w:ascii="Times New Roman" w:hAnsi="Times New Roman" w:cs="Times New Roman"/>
          <w:b/>
          <w:sz w:val="24"/>
          <w:szCs w:val="24"/>
        </w:rPr>
        <w:t xml:space="preserve">Before: </w:t>
      </w:r>
      <w:r w:rsidRPr="00FC7E35">
        <w:rPr>
          <w:rFonts w:ascii="Times New Roman" w:hAnsi="Times New Roman" w:cs="Times New Roman"/>
          <w:b/>
          <w:sz w:val="24"/>
          <w:szCs w:val="24"/>
        </w:rPr>
        <w:tab/>
      </w:r>
      <w:r w:rsidRPr="00FC7E35">
        <w:rPr>
          <w:rFonts w:ascii="Times New Roman" w:hAnsi="Times New Roman" w:cs="Times New Roman"/>
          <w:sz w:val="24"/>
          <w:szCs w:val="24"/>
        </w:rPr>
        <w:t>Andre J</w:t>
      </w:r>
    </w:p>
    <w:p w14:paraId="2406E706" w14:textId="6C652544" w:rsidR="00B47E74" w:rsidRPr="00AD09EE" w:rsidRDefault="006B504D" w:rsidP="00B47E74">
      <w:pPr>
        <w:spacing w:after="0" w:line="240" w:lineRule="auto"/>
        <w:ind w:left="1890" w:hanging="1890"/>
        <w:rPr>
          <w:rFonts w:ascii="Times New Roman" w:hAnsi="Times New Roman" w:cs="Times New Roman"/>
          <w:sz w:val="24"/>
          <w:szCs w:val="24"/>
        </w:rPr>
      </w:pPr>
      <w:r w:rsidRPr="00FC7E35">
        <w:rPr>
          <w:rFonts w:ascii="Times New Roman" w:hAnsi="Times New Roman" w:cs="Times New Roman"/>
          <w:b/>
          <w:sz w:val="24"/>
          <w:szCs w:val="24"/>
        </w:rPr>
        <w:t xml:space="preserve">Summary: </w:t>
      </w:r>
      <w:r w:rsidRPr="00FC7E35">
        <w:rPr>
          <w:rFonts w:ascii="Times New Roman" w:hAnsi="Times New Roman" w:cs="Times New Roman"/>
          <w:b/>
          <w:sz w:val="24"/>
          <w:szCs w:val="24"/>
        </w:rPr>
        <w:tab/>
      </w:r>
      <w:r w:rsidR="006B66BA">
        <w:rPr>
          <w:rFonts w:ascii="Times New Roman" w:hAnsi="Times New Roman" w:cs="Times New Roman"/>
          <w:sz w:val="24"/>
          <w:szCs w:val="24"/>
        </w:rPr>
        <w:t>International Business Companies Act (section 62 (1) (5) and 66)</w:t>
      </w:r>
      <w:r w:rsidR="008507C2">
        <w:rPr>
          <w:rFonts w:ascii="Times New Roman" w:hAnsi="Times New Roman" w:cs="Times New Roman"/>
          <w:sz w:val="24"/>
          <w:szCs w:val="24"/>
        </w:rPr>
        <w:t xml:space="preserve"> </w:t>
      </w:r>
      <w:r w:rsidR="006B66BA">
        <w:rPr>
          <w:rFonts w:ascii="Times New Roman" w:hAnsi="Times New Roman" w:cs="Times New Roman"/>
          <w:sz w:val="24"/>
          <w:szCs w:val="24"/>
        </w:rPr>
        <w:t>–</w:t>
      </w:r>
      <w:r w:rsidR="008507C2">
        <w:rPr>
          <w:rFonts w:ascii="Times New Roman" w:hAnsi="Times New Roman" w:cs="Times New Roman"/>
          <w:sz w:val="24"/>
          <w:szCs w:val="24"/>
        </w:rPr>
        <w:t xml:space="preserve"> </w:t>
      </w:r>
      <w:r w:rsidR="006B66BA">
        <w:rPr>
          <w:rFonts w:ascii="Times New Roman" w:hAnsi="Times New Roman" w:cs="Times New Roman"/>
          <w:sz w:val="24"/>
          <w:szCs w:val="24"/>
        </w:rPr>
        <w:t>Transfer of registered shares</w:t>
      </w:r>
      <w:r w:rsidR="008507C2">
        <w:rPr>
          <w:rFonts w:ascii="Times New Roman" w:hAnsi="Times New Roman" w:cs="Times New Roman"/>
          <w:sz w:val="24"/>
          <w:szCs w:val="24"/>
        </w:rPr>
        <w:t xml:space="preserve"> </w:t>
      </w:r>
    </w:p>
    <w:p w14:paraId="2EF61E43" w14:textId="0550CDFB" w:rsidR="006B504D" w:rsidRPr="00FC7E35" w:rsidRDefault="006B504D" w:rsidP="00B47E74">
      <w:pPr>
        <w:spacing w:after="0" w:line="240" w:lineRule="auto"/>
        <w:ind w:left="1890" w:hanging="1890"/>
        <w:rPr>
          <w:rFonts w:ascii="Times New Roman" w:hAnsi="Times New Roman" w:cs="Times New Roman"/>
          <w:sz w:val="24"/>
          <w:szCs w:val="24"/>
        </w:rPr>
      </w:pPr>
      <w:r w:rsidRPr="00FC7E35">
        <w:rPr>
          <w:rFonts w:ascii="Times New Roman" w:hAnsi="Times New Roman" w:cs="Times New Roman"/>
          <w:b/>
          <w:sz w:val="24"/>
          <w:szCs w:val="24"/>
        </w:rPr>
        <w:t xml:space="preserve">Heard: </w:t>
      </w:r>
      <w:r w:rsidR="00B47E74">
        <w:rPr>
          <w:rFonts w:ascii="Times New Roman" w:hAnsi="Times New Roman" w:cs="Times New Roman"/>
          <w:sz w:val="24"/>
          <w:szCs w:val="24"/>
        </w:rPr>
        <w:tab/>
      </w:r>
      <w:r w:rsidR="006B66BA">
        <w:rPr>
          <w:rFonts w:ascii="Times New Roman" w:hAnsi="Times New Roman" w:cs="Times New Roman"/>
          <w:sz w:val="24"/>
          <w:szCs w:val="24"/>
        </w:rPr>
        <w:t>28</w:t>
      </w:r>
      <w:r w:rsidR="00F26007">
        <w:rPr>
          <w:rFonts w:ascii="Times New Roman" w:hAnsi="Times New Roman" w:cs="Times New Roman"/>
          <w:sz w:val="24"/>
          <w:szCs w:val="24"/>
        </w:rPr>
        <w:t xml:space="preserve"> July </w:t>
      </w:r>
      <w:r w:rsidR="000C0DF6">
        <w:rPr>
          <w:rFonts w:ascii="Times New Roman" w:hAnsi="Times New Roman" w:cs="Times New Roman"/>
          <w:sz w:val="24"/>
          <w:szCs w:val="24"/>
        </w:rPr>
        <w:t xml:space="preserve">2021 </w:t>
      </w:r>
    </w:p>
    <w:p w14:paraId="47B59348" w14:textId="13DFE635" w:rsidR="00693DD2" w:rsidRDefault="006B504D" w:rsidP="005023E6">
      <w:pPr>
        <w:pBdr>
          <w:bottom w:val="single" w:sz="4" w:space="1" w:color="auto"/>
        </w:pBdr>
        <w:spacing w:after="0" w:line="240" w:lineRule="auto"/>
        <w:ind w:left="1890" w:hanging="1890"/>
        <w:rPr>
          <w:rFonts w:ascii="Times New Roman" w:hAnsi="Times New Roman" w:cs="Times New Roman"/>
          <w:b/>
          <w:sz w:val="24"/>
          <w:szCs w:val="24"/>
        </w:rPr>
      </w:pPr>
      <w:r w:rsidRPr="00FC7E35">
        <w:rPr>
          <w:rFonts w:ascii="Times New Roman" w:hAnsi="Times New Roman" w:cs="Times New Roman"/>
          <w:b/>
          <w:sz w:val="24"/>
          <w:szCs w:val="24"/>
        </w:rPr>
        <w:t>Delivered:</w:t>
      </w:r>
      <w:r w:rsidRPr="00FC7E35">
        <w:rPr>
          <w:rFonts w:ascii="Times New Roman" w:hAnsi="Times New Roman" w:cs="Times New Roman"/>
          <w:b/>
          <w:sz w:val="24"/>
          <w:szCs w:val="24"/>
        </w:rPr>
        <w:tab/>
      </w:r>
      <w:r w:rsidR="006B66BA">
        <w:rPr>
          <w:rFonts w:ascii="Times New Roman" w:hAnsi="Times New Roman" w:cs="Times New Roman"/>
          <w:sz w:val="24"/>
          <w:szCs w:val="24"/>
        </w:rPr>
        <w:t>28</w:t>
      </w:r>
      <w:r w:rsidR="00F26007">
        <w:rPr>
          <w:rFonts w:ascii="Times New Roman" w:hAnsi="Times New Roman" w:cs="Times New Roman"/>
          <w:sz w:val="24"/>
          <w:szCs w:val="24"/>
        </w:rPr>
        <w:t xml:space="preserve"> October</w:t>
      </w:r>
      <w:r w:rsidR="000C0DF6">
        <w:rPr>
          <w:rFonts w:ascii="Times New Roman" w:hAnsi="Times New Roman" w:cs="Times New Roman"/>
          <w:sz w:val="24"/>
          <w:szCs w:val="24"/>
        </w:rPr>
        <w:t xml:space="preserve"> </w:t>
      </w:r>
      <w:r>
        <w:rPr>
          <w:rFonts w:ascii="Times New Roman" w:hAnsi="Times New Roman" w:cs="Times New Roman"/>
          <w:sz w:val="24"/>
          <w:szCs w:val="24"/>
        </w:rPr>
        <w:t>2021</w:t>
      </w:r>
    </w:p>
    <w:p w14:paraId="5E37AFA7" w14:textId="71F59409" w:rsidR="00693DD2" w:rsidRDefault="006B66BA" w:rsidP="00693DD2">
      <w:pPr>
        <w:tabs>
          <w:tab w:val="left" w:pos="2892"/>
        </w:tabs>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ORDER</w:t>
      </w:r>
    </w:p>
    <w:p w14:paraId="753D2260" w14:textId="4B9BF7EE" w:rsidR="006B66BA" w:rsidRDefault="006B66BA" w:rsidP="00693DD2">
      <w:pPr>
        <w:tabs>
          <w:tab w:val="left" w:pos="2892"/>
        </w:tabs>
        <w:jc w:val="both"/>
        <w:rPr>
          <w:rFonts w:ascii="Times New Roman" w:hAnsi="Times New Roman" w:cs="Times New Roman"/>
          <w:sz w:val="24"/>
          <w:szCs w:val="24"/>
        </w:rPr>
      </w:pPr>
      <w:r w:rsidRPr="006B66BA">
        <w:rPr>
          <w:rFonts w:ascii="Times New Roman" w:hAnsi="Times New Roman" w:cs="Times New Roman"/>
          <w:sz w:val="24"/>
          <w:szCs w:val="24"/>
        </w:rPr>
        <w:t>The following Orders are made:</w:t>
      </w:r>
    </w:p>
    <w:p w14:paraId="658F2F1D" w14:textId="2F12C174" w:rsidR="006B66BA" w:rsidRDefault="00717B21" w:rsidP="006B66BA">
      <w:pPr>
        <w:pStyle w:val="JudgmentText"/>
        <w:numPr>
          <w:ilvl w:val="0"/>
          <w:numId w:val="0"/>
        </w:numPr>
        <w:ind w:left="720"/>
      </w:pPr>
      <w:r>
        <w:t>[1</w:t>
      </w:r>
      <w:r w:rsidR="006B66BA">
        <w:t xml:space="preserve">] The defendant company Hightech Seed Investments II Ltd is hereby directed to rectify its records and register the registered transfer of shares pursuant to the instrument of transfer between the </w:t>
      </w:r>
      <w:r w:rsidR="00A132F3">
        <w:t>1</w:t>
      </w:r>
      <w:r w:rsidR="00A132F3" w:rsidRPr="00A132F3">
        <w:rPr>
          <w:vertAlign w:val="superscript"/>
        </w:rPr>
        <w:t>st</w:t>
      </w:r>
      <w:r w:rsidR="00A132F3">
        <w:t xml:space="preserve"> </w:t>
      </w:r>
      <w:r w:rsidR="006B66BA">
        <w:t xml:space="preserve">and </w:t>
      </w:r>
      <w:r w:rsidR="00A132F3">
        <w:t>2</w:t>
      </w:r>
      <w:r w:rsidR="00A132F3" w:rsidRPr="00A132F3">
        <w:rPr>
          <w:vertAlign w:val="superscript"/>
        </w:rPr>
        <w:t>nd</w:t>
      </w:r>
      <w:r w:rsidR="00A132F3">
        <w:t xml:space="preserve"> </w:t>
      </w:r>
      <w:r w:rsidR="006B66BA">
        <w:t>plaintiff</w:t>
      </w:r>
      <w:r w:rsidR="00814FF9">
        <w:t>s</w:t>
      </w:r>
      <w:r w:rsidR="006B66BA">
        <w:t xml:space="preserve"> and from the register of members of the defendant company to remove the name of the 1</w:t>
      </w:r>
      <w:r w:rsidR="006B66BA" w:rsidRPr="006B66BA">
        <w:rPr>
          <w:vertAlign w:val="superscript"/>
        </w:rPr>
        <w:t>st</w:t>
      </w:r>
      <w:r w:rsidR="006B66BA">
        <w:t xml:space="preserve"> plaintiff and enter the name of the 2</w:t>
      </w:r>
      <w:r w:rsidR="006B66BA" w:rsidRPr="006B66BA">
        <w:rPr>
          <w:vertAlign w:val="superscript"/>
        </w:rPr>
        <w:t>nd</w:t>
      </w:r>
      <w:r w:rsidR="006B66BA">
        <w:t xml:space="preserve"> plaintiff instead.</w:t>
      </w:r>
    </w:p>
    <w:p w14:paraId="410F619F" w14:textId="2F24D08C" w:rsidR="006B66BA" w:rsidRDefault="006B66BA" w:rsidP="006B66BA">
      <w:pPr>
        <w:pStyle w:val="JudgmentText"/>
        <w:numPr>
          <w:ilvl w:val="0"/>
          <w:numId w:val="0"/>
        </w:numPr>
        <w:ind w:left="720"/>
      </w:pPr>
      <w:r>
        <w:lastRenderedPageBreak/>
        <w:t>[2]</w:t>
      </w:r>
      <w:r>
        <w:tab/>
        <w:t>Cost is granted as prayed in favo</w:t>
      </w:r>
      <w:r w:rsidR="00A132F3">
        <w:t>u</w:t>
      </w:r>
      <w:r>
        <w:t xml:space="preserve">r of the </w:t>
      </w:r>
      <w:r w:rsidR="00A132F3">
        <w:t>1</w:t>
      </w:r>
      <w:r w:rsidR="00A132F3" w:rsidRPr="00A132F3">
        <w:rPr>
          <w:vertAlign w:val="superscript"/>
        </w:rPr>
        <w:t>st</w:t>
      </w:r>
      <w:r w:rsidR="00A132F3">
        <w:t xml:space="preserve"> and 2</w:t>
      </w:r>
      <w:r w:rsidR="00A132F3" w:rsidRPr="00A132F3">
        <w:rPr>
          <w:vertAlign w:val="superscript"/>
        </w:rPr>
        <w:t>nd</w:t>
      </w:r>
      <w:r w:rsidR="00A132F3">
        <w:t xml:space="preserve"> </w:t>
      </w:r>
      <w:r>
        <w:t>plaintiffs as against the defendant.</w:t>
      </w:r>
    </w:p>
    <w:p w14:paraId="0620F4CB" w14:textId="0696308F" w:rsidR="006B66BA" w:rsidRDefault="006B66BA" w:rsidP="006B66BA">
      <w:pPr>
        <w:pStyle w:val="JudgmentText"/>
        <w:numPr>
          <w:ilvl w:val="0"/>
          <w:numId w:val="0"/>
        </w:numPr>
        <w:ind w:left="720"/>
      </w:pPr>
      <w:r>
        <w:t xml:space="preserve">[3] The Registrar is hereby directed to serve a copy of the judgment of the defendant company with immediate effect. </w:t>
      </w:r>
    </w:p>
    <w:p w14:paraId="1208A5E1" w14:textId="77777777" w:rsidR="00693DD2" w:rsidRDefault="00693DD2" w:rsidP="00693DD2">
      <w:pPr>
        <w:pBdr>
          <w:top w:val="single" w:sz="4" w:space="1" w:color="auto"/>
          <w:bottom w:val="single" w:sz="4" w:space="1" w:color="auto"/>
        </w:pBdr>
        <w:tabs>
          <w:tab w:val="left" w:pos="2892"/>
        </w:tabs>
        <w:jc w:val="center"/>
        <w:rPr>
          <w:rFonts w:ascii="Times New Roman" w:hAnsi="Times New Roman" w:cs="Times New Roman"/>
          <w:b/>
          <w:sz w:val="24"/>
          <w:szCs w:val="24"/>
        </w:rPr>
      </w:pPr>
    </w:p>
    <w:p w14:paraId="3A5684C3" w14:textId="77777777" w:rsidR="006B66BA" w:rsidRDefault="006B66BA" w:rsidP="00693DD2">
      <w:pPr>
        <w:pBdr>
          <w:top w:val="single" w:sz="4" w:space="1" w:color="auto"/>
          <w:bottom w:val="single" w:sz="4" w:space="1" w:color="auto"/>
        </w:pBdr>
        <w:tabs>
          <w:tab w:val="left" w:pos="2892"/>
        </w:tabs>
        <w:jc w:val="center"/>
        <w:rPr>
          <w:rFonts w:ascii="Times New Roman" w:hAnsi="Times New Roman" w:cs="Times New Roman"/>
          <w:b/>
          <w:sz w:val="24"/>
          <w:szCs w:val="24"/>
        </w:rPr>
      </w:pPr>
      <w:r>
        <w:rPr>
          <w:rFonts w:ascii="Times New Roman" w:hAnsi="Times New Roman" w:cs="Times New Roman"/>
          <w:b/>
          <w:sz w:val="24"/>
          <w:szCs w:val="24"/>
        </w:rPr>
        <w:t xml:space="preserve">JUDGEMENT </w:t>
      </w:r>
    </w:p>
    <w:p w14:paraId="70D06594" w14:textId="36AA3240" w:rsidR="00693DD2" w:rsidRDefault="006B66BA" w:rsidP="00693DD2">
      <w:pPr>
        <w:pBdr>
          <w:top w:val="single" w:sz="4" w:space="1" w:color="auto"/>
          <w:bottom w:val="single" w:sz="4" w:space="1" w:color="auto"/>
        </w:pBdr>
        <w:tabs>
          <w:tab w:val="left" w:pos="2892"/>
        </w:tabs>
        <w:jc w:val="center"/>
        <w:rPr>
          <w:rFonts w:ascii="Times New Roman" w:hAnsi="Times New Roman" w:cs="Times New Roman"/>
          <w:b/>
          <w:sz w:val="24"/>
          <w:szCs w:val="24"/>
        </w:rPr>
      </w:pPr>
      <w:r>
        <w:rPr>
          <w:rFonts w:ascii="Times New Roman" w:hAnsi="Times New Roman" w:cs="Times New Roman"/>
          <w:b/>
          <w:sz w:val="24"/>
          <w:szCs w:val="24"/>
        </w:rPr>
        <w:t>EX-PARTE</w:t>
      </w:r>
    </w:p>
    <w:p w14:paraId="05D5CB7E" w14:textId="77777777" w:rsidR="00693DD2" w:rsidRDefault="00693DD2" w:rsidP="00693DD2">
      <w:pPr>
        <w:pBdr>
          <w:top w:val="single" w:sz="4" w:space="1" w:color="auto"/>
          <w:bottom w:val="single" w:sz="4" w:space="1" w:color="auto"/>
        </w:pBdr>
        <w:tabs>
          <w:tab w:val="left" w:pos="2892"/>
        </w:tabs>
        <w:jc w:val="center"/>
        <w:rPr>
          <w:rFonts w:ascii="Times New Roman" w:hAnsi="Times New Roman" w:cs="Times New Roman"/>
          <w:b/>
          <w:sz w:val="24"/>
          <w:szCs w:val="24"/>
        </w:rPr>
      </w:pPr>
    </w:p>
    <w:p w14:paraId="2AAAE343" w14:textId="77777777" w:rsidR="00693DD2" w:rsidRDefault="00693DD2" w:rsidP="006B504D">
      <w:pPr>
        <w:tabs>
          <w:tab w:val="left" w:pos="2892"/>
        </w:tabs>
        <w:spacing w:before="120" w:after="0" w:line="240" w:lineRule="auto"/>
        <w:jc w:val="center"/>
        <w:rPr>
          <w:rFonts w:ascii="Times New Roman" w:hAnsi="Times New Roman" w:cs="Times New Roman"/>
          <w:b/>
          <w:sz w:val="24"/>
          <w:szCs w:val="24"/>
        </w:rPr>
      </w:pPr>
    </w:p>
    <w:p w14:paraId="150E346B" w14:textId="77777777" w:rsidR="00833008" w:rsidRPr="00DC08F2" w:rsidRDefault="00833008" w:rsidP="006B504D">
      <w:pPr>
        <w:spacing w:line="360" w:lineRule="auto"/>
        <w:jc w:val="both"/>
        <w:rPr>
          <w:rFonts w:ascii="Times New Roman" w:hAnsi="Times New Roman" w:cs="Times New Roman"/>
          <w:b/>
          <w:sz w:val="24"/>
          <w:szCs w:val="24"/>
        </w:rPr>
      </w:pPr>
      <w:r w:rsidRPr="00DC08F2">
        <w:rPr>
          <w:rFonts w:ascii="Times New Roman" w:hAnsi="Times New Roman" w:cs="Times New Roman"/>
          <w:b/>
          <w:sz w:val="24"/>
          <w:szCs w:val="24"/>
        </w:rPr>
        <w:t xml:space="preserve">ANDRE J </w:t>
      </w:r>
    </w:p>
    <w:p w14:paraId="5CFDAFEE" w14:textId="054BC6CE" w:rsidR="00833008" w:rsidRDefault="00833008" w:rsidP="006B504D">
      <w:pPr>
        <w:spacing w:line="360" w:lineRule="auto"/>
        <w:jc w:val="both"/>
        <w:rPr>
          <w:rFonts w:ascii="Times New Roman" w:hAnsi="Times New Roman" w:cs="Times New Roman"/>
          <w:b/>
          <w:sz w:val="24"/>
          <w:szCs w:val="24"/>
        </w:rPr>
      </w:pPr>
      <w:r w:rsidRPr="00DC08F2">
        <w:rPr>
          <w:rFonts w:ascii="Times New Roman" w:hAnsi="Times New Roman" w:cs="Times New Roman"/>
          <w:b/>
          <w:sz w:val="24"/>
          <w:szCs w:val="24"/>
        </w:rPr>
        <w:t>Introduction</w:t>
      </w:r>
    </w:p>
    <w:p w14:paraId="24A2F2C2" w14:textId="2A204473" w:rsidR="006B66BA" w:rsidRDefault="00F64F3D" w:rsidP="00B54B7E">
      <w:pPr>
        <w:pStyle w:val="JudgmentText"/>
        <w:numPr>
          <w:ilvl w:val="0"/>
          <w:numId w:val="8"/>
        </w:numPr>
      </w:pPr>
      <w:r w:rsidRPr="00313207">
        <w:t xml:space="preserve">This </w:t>
      </w:r>
      <w:r w:rsidR="006B66BA">
        <w:t xml:space="preserve">Judgement </w:t>
      </w:r>
      <w:r w:rsidR="00F26007">
        <w:t xml:space="preserve">arises out of </w:t>
      </w:r>
      <w:r w:rsidR="006B66BA">
        <w:t>plaint of the 23 March</w:t>
      </w:r>
      <w:r w:rsidR="00F26007">
        <w:t xml:space="preserve"> 2021 for </w:t>
      </w:r>
      <w:r w:rsidR="006B66BA">
        <w:t>directing the rectification of the records of the defendant company; register the transfer of registered shares pursuant to the ‘instrument of transfer’, and from the register of members of the defendant company to remove the name of the transferor/</w:t>
      </w:r>
      <w:r w:rsidR="00A132F3">
        <w:t>1</w:t>
      </w:r>
      <w:r w:rsidR="00A132F3" w:rsidRPr="00A132F3">
        <w:rPr>
          <w:vertAlign w:val="superscript"/>
        </w:rPr>
        <w:t>st</w:t>
      </w:r>
      <w:r w:rsidR="00A132F3">
        <w:t xml:space="preserve"> </w:t>
      </w:r>
      <w:r w:rsidR="006B66BA">
        <w:t>plaintiff and en</w:t>
      </w:r>
      <w:r w:rsidR="00A132F3">
        <w:t>ter the name of the transferee/</w:t>
      </w:r>
      <w:r w:rsidR="006B66BA">
        <w:t>2</w:t>
      </w:r>
      <w:r w:rsidR="006B66BA" w:rsidRPr="006B66BA">
        <w:rPr>
          <w:vertAlign w:val="superscript"/>
        </w:rPr>
        <w:t>nd</w:t>
      </w:r>
      <w:r w:rsidR="006B66BA">
        <w:t xml:space="preserve"> </w:t>
      </w:r>
      <w:r w:rsidR="00A132F3">
        <w:t>plaintiff</w:t>
      </w:r>
      <w:r w:rsidR="006B66BA">
        <w:t xml:space="preserve"> instead and an Order as to costs against the defendant.</w:t>
      </w:r>
    </w:p>
    <w:p w14:paraId="1CD8AC69" w14:textId="7DF81B7C" w:rsidR="006B66BA" w:rsidRDefault="006B66BA" w:rsidP="00B54B7E">
      <w:pPr>
        <w:pStyle w:val="JudgmentText"/>
        <w:numPr>
          <w:ilvl w:val="0"/>
          <w:numId w:val="8"/>
        </w:numPr>
      </w:pPr>
      <w:r>
        <w:t xml:space="preserve">The matter proceeded ex-parte as against the defendant company following their non-appearance albeit being duly served. </w:t>
      </w:r>
    </w:p>
    <w:p w14:paraId="3493018F" w14:textId="7CA17D57" w:rsidR="00911BC3" w:rsidRDefault="00F26007" w:rsidP="00911BC3">
      <w:pPr>
        <w:pStyle w:val="Jjmntheading1"/>
      </w:pPr>
      <w:r>
        <w:t xml:space="preserve">General </w:t>
      </w:r>
      <w:r w:rsidR="00EC558D" w:rsidRPr="00313207">
        <w:t>background</w:t>
      </w:r>
    </w:p>
    <w:p w14:paraId="11E6C847" w14:textId="2742FF86" w:rsidR="006B66BA" w:rsidRDefault="006B66BA" w:rsidP="00911BC3">
      <w:pPr>
        <w:pStyle w:val="JudgmentText"/>
      </w:pPr>
      <w:r>
        <w:t>The defendant company is an international business company (company number 099632) incorporated in Seychelles.</w:t>
      </w:r>
    </w:p>
    <w:p w14:paraId="60E7A85A" w14:textId="79F08669" w:rsidR="006B66BA" w:rsidRDefault="006B66BA" w:rsidP="00911BC3">
      <w:pPr>
        <w:pStyle w:val="JudgmentText"/>
      </w:pPr>
      <w:r>
        <w:t>The 1</w:t>
      </w:r>
      <w:r w:rsidRPr="006B66BA">
        <w:rPr>
          <w:vertAlign w:val="superscript"/>
        </w:rPr>
        <w:t>st</w:t>
      </w:r>
      <w:r>
        <w:t xml:space="preserve"> plaintiff owns 595 ordinary shares in the defendant company and has sold 595 ordinary shares to the 2</w:t>
      </w:r>
      <w:r w:rsidRPr="006B66BA">
        <w:rPr>
          <w:vertAlign w:val="superscript"/>
        </w:rPr>
        <w:t>nd</w:t>
      </w:r>
      <w:r>
        <w:t xml:space="preserve"> plaintiff.</w:t>
      </w:r>
    </w:p>
    <w:p w14:paraId="180140F1" w14:textId="2CEE2561" w:rsidR="006B66BA" w:rsidRDefault="00814FF9" w:rsidP="00911BC3">
      <w:pPr>
        <w:pStyle w:val="JudgmentText"/>
      </w:pPr>
      <w:r>
        <w:t>The instrument of transfer dated</w:t>
      </w:r>
      <w:r w:rsidR="006B66BA">
        <w:t xml:space="preserve"> the 27 October 2020, signed by the transferor (</w:t>
      </w:r>
      <w:r w:rsidR="00A132F3">
        <w:t>i</w:t>
      </w:r>
      <w:r w:rsidR="006B66BA">
        <w:t>e</w:t>
      </w:r>
      <w:r w:rsidR="00A132F3">
        <w:t>:</w:t>
      </w:r>
      <w:r w:rsidR="006B66BA">
        <w:t xml:space="preserve"> the 1</w:t>
      </w:r>
      <w:r w:rsidR="006B66BA" w:rsidRPr="006B66BA">
        <w:rPr>
          <w:vertAlign w:val="superscript"/>
        </w:rPr>
        <w:t>st</w:t>
      </w:r>
      <w:r w:rsidR="006B66BA">
        <w:t xml:space="preserve"> plaintiff transfers all of its registered 595 ordinary shares in the defendant company to the 2</w:t>
      </w:r>
      <w:r w:rsidR="006B66BA" w:rsidRPr="006B66BA">
        <w:rPr>
          <w:vertAlign w:val="superscript"/>
        </w:rPr>
        <w:t>nd</w:t>
      </w:r>
      <w:r w:rsidR="006B66BA">
        <w:t xml:space="preserve"> plaintiff.</w:t>
      </w:r>
    </w:p>
    <w:p w14:paraId="41735340" w14:textId="4F856F43" w:rsidR="006B66BA" w:rsidRDefault="006B66BA" w:rsidP="00911BC3">
      <w:pPr>
        <w:pStyle w:val="JudgmentText"/>
      </w:pPr>
      <w:r>
        <w:lastRenderedPageBreak/>
        <w:t xml:space="preserve">The said instrument of transfer of the registered shares was sent to the </w:t>
      </w:r>
      <w:r w:rsidR="00814FF9">
        <w:t xml:space="preserve">defendant </w:t>
      </w:r>
      <w:r>
        <w:t>company for registration through a letter dated 30 November 2020.</w:t>
      </w:r>
    </w:p>
    <w:p w14:paraId="7C67B7ED" w14:textId="00BD0243" w:rsidR="006B66BA" w:rsidRDefault="006B66BA" w:rsidP="00911BC3">
      <w:pPr>
        <w:pStyle w:val="JudgmentText"/>
      </w:pPr>
      <w:r>
        <w:t>There is a statutory duty that a company shall, on receipt of an instrument of transfer, enter the name of the transferee of the hare in the register of members.</w:t>
      </w:r>
    </w:p>
    <w:p w14:paraId="584CE877" w14:textId="174AB8E6" w:rsidR="006B66BA" w:rsidRDefault="006B66BA" w:rsidP="00911BC3">
      <w:pPr>
        <w:pStyle w:val="JudgmentText"/>
      </w:pPr>
      <w:r>
        <w:t xml:space="preserve">The defendant </w:t>
      </w:r>
      <w:r w:rsidR="00814FF9">
        <w:t xml:space="preserve">company </w:t>
      </w:r>
      <w:r>
        <w:t>has no re</w:t>
      </w:r>
      <w:r w:rsidR="00A132F3">
        <w:t xml:space="preserve">ason </w:t>
      </w:r>
      <w:r>
        <w:t>to refuse the transfer of the registered share a</w:t>
      </w:r>
      <w:r w:rsidR="00A132F3">
        <w:t>s</w:t>
      </w:r>
      <w:r>
        <w:t xml:space="preserve"> per the instrument of transfer afore-said.</w:t>
      </w:r>
    </w:p>
    <w:p w14:paraId="3D1FEA79" w14:textId="19ACEA1F" w:rsidR="006B66BA" w:rsidRDefault="006B66BA" w:rsidP="00911BC3">
      <w:pPr>
        <w:pStyle w:val="JudgmentText"/>
      </w:pPr>
      <w:r>
        <w:t>In breach of that statutory duty, the defendant has failed to enter the name of the transferee of the share, (</w:t>
      </w:r>
      <w:r w:rsidR="00A132F3">
        <w:t>i</w:t>
      </w:r>
      <w:r>
        <w:t>e: the name of the 2</w:t>
      </w:r>
      <w:r w:rsidRPr="006B66BA">
        <w:rPr>
          <w:vertAlign w:val="superscript"/>
        </w:rPr>
        <w:t>nd</w:t>
      </w:r>
      <w:r>
        <w:t xml:space="preserve"> plaintiff, in the register of members thereby causing prejudice against the plaintiffs.</w:t>
      </w:r>
    </w:p>
    <w:p w14:paraId="0DD29AD5" w14:textId="68BB237E" w:rsidR="006B66BA" w:rsidRDefault="006B66BA" w:rsidP="00911BC3">
      <w:pPr>
        <w:pStyle w:val="JudgmentText"/>
      </w:pPr>
      <w:r>
        <w:t xml:space="preserve">The prayers sought by the plaintiffs are </w:t>
      </w:r>
      <w:r w:rsidR="00814FF9">
        <w:t xml:space="preserve">as </w:t>
      </w:r>
      <w:r>
        <w:t xml:space="preserve">at </w:t>
      </w:r>
      <w:r w:rsidR="00814FF9">
        <w:t xml:space="preserve">paragraph </w:t>
      </w:r>
      <w:r>
        <w:t>[1] above.</w:t>
      </w:r>
    </w:p>
    <w:p w14:paraId="1F4EB2C9" w14:textId="215607E7" w:rsidR="006B66BA" w:rsidRDefault="006B66BA" w:rsidP="004340CB">
      <w:pPr>
        <w:pStyle w:val="Jjmntheading1"/>
      </w:pPr>
      <w:r>
        <w:t>Evidence</w:t>
      </w:r>
    </w:p>
    <w:p w14:paraId="7C79EDDA" w14:textId="260217C3" w:rsidR="006B66BA" w:rsidRDefault="006B66BA" w:rsidP="00491585">
      <w:pPr>
        <w:pStyle w:val="JudgmentText"/>
      </w:pPr>
      <w:r>
        <w:t xml:space="preserve">Two witnesses </w:t>
      </w:r>
      <w:r w:rsidR="00A132F3">
        <w:t xml:space="preserve">testified in support of the plaint, </w:t>
      </w:r>
      <w:r>
        <w:t>namely, the 1</w:t>
      </w:r>
      <w:r w:rsidRPr="00A132F3">
        <w:rPr>
          <w:vertAlign w:val="superscript"/>
        </w:rPr>
        <w:t>st</w:t>
      </w:r>
      <w:r>
        <w:t xml:space="preserve"> and the 2</w:t>
      </w:r>
      <w:r w:rsidRPr="00A132F3">
        <w:rPr>
          <w:vertAlign w:val="superscript"/>
        </w:rPr>
        <w:t>nd</w:t>
      </w:r>
      <w:r>
        <w:t xml:space="preserve"> plaintiffs.</w:t>
      </w:r>
    </w:p>
    <w:p w14:paraId="1AA8C9EE" w14:textId="09921E65" w:rsidR="006B66BA" w:rsidRDefault="006B66BA" w:rsidP="004534DB">
      <w:pPr>
        <w:pStyle w:val="JudgmentText"/>
        <w:numPr>
          <w:ilvl w:val="0"/>
          <w:numId w:val="0"/>
        </w:numPr>
        <w:ind w:left="720"/>
      </w:pPr>
      <w:r>
        <w:t>The 1</w:t>
      </w:r>
      <w:r w:rsidRPr="006B66BA">
        <w:rPr>
          <w:vertAlign w:val="superscript"/>
        </w:rPr>
        <w:t>st</w:t>
      </w:r>
      <w:r>
        <w:t xml:space="preserve"> plaintiff represented by Mr. Marat Rzagaziev testified in a gist</w:t>
      </w:r>
      <w:r w:rsidR="00814FF9">
        <w:t>,</w:t>
      </w:r>
      <w:r>
        <w:t xml:space="preserve"> that he could represent the </w:t>
      </w:r>
      <w:r w:rsidR="00814FF9">
        <w:t>1</w:t>
      </w:r>
      <w:r w:rsidR="00814FF9" w:rsidRPr="00814FF9">
        <w:rPr>
          <w:vertAlign w:val="superscript"/>
        </w:rPr>
        <w:t>st</w:t>
      </w:r>
      <w:r w:rsidR="00814FF9">
        <w:t xml:space="preserve"> </w:t>
      </w:r>
      <w:r>
        <w:t>plaintiff’s company by virtue</w:t>
      </w:r>
      <w:r w:rsidR="00814FF9">
        <w:t xml:space="preserve"> of power of attorney </w:t>
      </w:r>
      <w:r w:rsidR="00814FF9" w:rsidRPr="00814FF9">
        <w:rPr>
          <w:i/>
        </w:rPr>
        <w:t>(Exhibit P</w:t>
      </w:r>
      <w:r w:rsidRPr="00814FF9">
        <w:rPr>
          <w:i/>
        </w:rPr>
        <w:t>1 and P2).</w:t>
      </w:r>
      <w:r>
        <w:t xml:space="preserve"> That the 2</w:t>
      </w:r>
      <w:r w:rsidRPr="006B66BA">
        <w:rPr>
          <w:vertAlign w:val="superscript"/>
        </w:rPr>
        <w:t>nd</w:t>
      </w:r>
      <w:r w:rsidR="00A132F3">
        <w:t xml:space="preserve"> plaintiff</w:t>
      </w:r>
      <w:r>
        <w:t xml:space="preserve"> is an incorporated company in Seychell</w:t>
      </w:r>
      <w:r w:rsidR="00A132F3">
        <w:t>es</w:t>
      </w:r>
      <w:r>
        <w:t xml:space="preserve"> with registration number 099632 </w:t>
      </w:r>
      <w:r w:rsidRPr="00814FF9">
        <w:rPr>
          <w:i/>
        </w:rPr>
        <w:t>(Exhibit P3).</w:t>
      </w:r>
      <w:r>
        <w:t xml:space="preserve"> That the 1</w:t>
      </w:r>
      <w:r w:rsidRPr="006B66BA">
        <w:rPr>
          <w:vertAlign w:val="superscript"/>
        </w:rPr>
        <w:t>st</w:t>
      </w:r>
      <w:r>
        <w:t xml:space="preserve"> plaintiff owes 595 ordinary shares in the defendant company </w:t>
      </w:r>
      <w:r w:rsidRPr="00814FF9">
        <w:rPr>
          <w:i/>
        </w:rPr>
        <w:t>(Exhibit P4)</w:t>
      </w:r>
      <w:r>
        <w:t xml:space="preserve"> and that the 1</w:t>
      </w:r>
      <w:r w:rsidRPr="006B66BA">
        <w:rPr>
          <w:vertAlign w:val="superscript"/>
        </w:rPr>
        <w:t>st</w:t>
      </w:r>
      <w:r>
        <w:t xml:space="preserve"> plaintiff sold </w:t>
      </w:r>
      <w:r w:rsidR="00A132F3">
        <w:t>his</w:t>
      </w:r>
      <w:r>
        <w:t xml:space="preserve"> s</w:t>
      </w:r>
      <w:r w:rsidR="00A132F3">
        <w:t>a</w:t>
      </w:r>
      <w:r>
        <w:t>id shares to the 2</w:t>
      </w:r>
      <w:r w:rsidRPr="006B66BA">
        <w:rPr>
          <w:vertAlign w:val="superscript"/>
        </w:rPr>
        <w:t>nd</w:t>
      </w:r>
      <w:r>
        <w:t xml:space="preserve"> plaintiff </w:t>
      </w:r>
      <w:r w:rsidRPr="00814FF9">
        <w:rPr>
          <w:i/>
        </w:rPr>
        <w:t>(Exhibit P5).</w:t>
      </w:r>
      <w:r>
        <w:t xml:space="preserve"> That </w:t>
      </w:r>
      <w:r w:rsidRPr="00814FF9">
        <w:t>Exhibit P5</w:t>
      </w:r>
      <w:r w:rsidR="00814FF9">
        <w:t>,</w:t>
      </w:r>
      <w:r>
        <w:t xml:space="preserve"> was subsequently sent to the defendant company for registration letter for registr</w:t>
      </w:r>
      <w:r w:rsidR="00A132F3">
        <w:t xml:space="preserve">ation </w:t>
      </w:r>
      <w:r w:rsidR="00A132F3" w:rsidRPr="00814FF9">
        <w:rPr>
          <w:i/>
        </w:rPr>
        <w:t>(Exhibit P6)</w:t>
      </w:r>
      <w:r w:rsidR="00A132F3">
        <w:t xml:space="preserve"> and Exhibit P</w:t>
      </w:r>
      <w:r>
        <w:t xml:space="preserve">6 also referred to a previous share transfer made </w:t>
      </w:r>
      <w:r w:rsidRPr="00814FF9">
        <w:rPr>
          <w:i/>
        </w:rPr>
        <w:t>(Exhibit P7</w:t>
      </w:r>
      <w:r w:rsidR="00A132F3" w:rsidRPr="00814FF9">
        <w:rPr>
          <w:i/>
        </w:rPr>
        <w:t>)</w:t>
      </w:r>
      <w:r w:rsidR="00A132F3">
        <w:t xml:space="preserve"> and which Exhibit P7 was repla</w:t>
      </w:r>
      <w:r>
        <w:t>ced by Exhibit P5. That there is a statutory duty on the defendant company to register the same transfer as per Exhibit P5 and the 2</w:t>
      </w:r>
      <w:r w:rsidRPr="006B66BA">
        <w:rPr>
          <w:vertAlign w:val="superscript"/>
        </w:rPr>
        <w:t>nd</w:t>
      </w:r>
      <w:r>
        <w:t xml:space="preserve"> plaintiff to be registered as member shareholder. That to his knowledg</w:t>
      </w:r>
      <w:r w:rsidR="00A132F3">
        <w:t>e, there is</w:t>
      </w:r>
      <w:r>
        <w:t xml:space="preserve"> no excuse for the defendant </w:t>
      </w:r>
      <w:r w:rsidR="00814FF9">
        <w:t xml:space="preserve">company </w:t>
      </w:r>
      <w:r>
        <w:t xml:space="preserve">not to register the transfer </w:t>
      </w:r>
      <w:r w:rsidR="00814FF9">
        <w:t>as per Exhibit</w:t>
      </w:r>
      <w:r>
        <w:t xml:space="preserve"> P5 and also to register the 2</w:t>
      </w:r>
      <w:r w:rsidRPr="006B66BA">
        <w:rPr>
          <w:vertAlign w:val="superscript"/>
        </w:rPr>
        <w:t>nd</w:t>
      </w:r>
      <w:r>
        <w:t xml:space="preserve"> plaintiff as the shareholder and hence moving as per</w:t>
      </w:r>
      <w:r w:rsidR="00A132F3">
        <w:t xml:space="preserve"> </w:t>
      </w:r>
      <w:r>
        <w:t>prayers above for breach of such duti</w:t>
      </w:r>
      <w:r w:rsidR="00A132F3">
        <w:t>e</w:t>
      </w:r>
      <w:r>
        <w:t>s.</w:t>
      </w:r>
    </w:p>
    <w:p w14:paraId="128D3DD7" w14:textId="0E91EB7F" w:rsidR="006B66BA" w:rsidRDefault="006B66BA" w:rsidP="006B66BA">
      <w:pPr>
        <w:pStyle w:val="JudgmentText"/>
        <w:numPr>
          <w:ilvl w:val="0"/>
          <w:numId w:val="0"/>
        </w:numPr>
        <w:ind w:left="720" w:hanging="720"/>
      </w:pPr>
      <w:r>
        <w:t>[12]</w:t>
      </w:r>
      <w:r w:rsidR="00717B21">
        <w:tab/>
      </w:r>
      <w:r>
        <w:t>The 2</w:t>
      </w:r>
      <w:r w:rsidRPr="006B66BA">
        <w:rPr>
          <w:vertAlign w:val="superscript"/>
        </w:rPr>
        <w:t>nd</w:t>
      </w:r>
      <w:r>
        <w:t xml:space="preserve"> </w:t>
      </w:r>
      <w:r w:rsidR="00A132F3">
        <w:t>p</w:t>
      </w:r>
      <w:r>
        <w:t xml:space="preserve">laintiff was repented by one Azhigariyeva as per power of attorney </w:t>
      </w:r>
      <w:r w:rsidRPr="00814FF9">
        <w:rPr>
          <w:i/>
        </w:rPr>
        <w:t>(Exhibit P8).</w:t>
      </w:r>
      <w:r>
        <w:t xml:space="preserve"> She testified in a gist as follows:</w:t>
      </w:r>
    </w:p>
    <w:p w14:paraId="5B66A178" w14:textId="5E7F8F34" w:rsidR="006B66BA" w:rsidRDefault="006B66BA" w:rsidP="006B66BA">
      <w:pPr>
        <w:pStyle w:val="JudgmentText"/>
        <w:numPr>
          <w:ilvl w:val="0"/>
          <w:numId w:val="0"/>
        </w:numPr>
        <w:ind w:left="720" w:hanging="720"/>
      </w:pPr>
      <w:r>
        <w:lastRenderedPageBreak/>
        <w:tab/>
        <w:t>That the 2</w:t>
      </w:r>
      <w:r w:rsidRPr="006B66BA">
        <w:rPr>
          <w:vertAlign w:val="superscript"/>
        </w:rPr>
        <w:t>nd</w:t>
      </w:r>
      <w:r>
        <w:t xml:space="preserve"> plaintiff purchased the shares of the 1</w:t>
      </w:r>
      <w:r w:rsidR="00814FF9" w:rsidRPr="00814FF9">
        <w:rPr>
          <w:vertAlign w:val="superscript"/>
        </w:rPr>
        <w:t>st</w:t>
      </w:r>
      <w:r w:rsidR="00814FF9">
        <w:t xml:space="preserve"> </w:t>
      </w:r>
      <w:r>
        <w:t xml:space="preserve">plaintiff in the defendant company </w:t>
      </w:r>
      <w:r w:rsidRPr="00814FF9">
        <w:rPr>
          <w:i/>
        </w:rPr>
        <w:t>(Exhibit P5)</w:t>
      </w:r>
      <w:r>
        <w:t xml:space="preserve"> and the 2</w:t>
      </w:r>
      <w:r w:rsidRPr="006B66BA">
        <w:rPr>
          <w:vertAlign w:val="superscript"/>
        </w:rPr>
        <w:t>nd</w:t>
      </w:r>
      <w:r>
        <w:t xml:space="preserve"> plaintiff signed the document of transfer and she identified the signature of the </w:t>
      </w:r>
      <w:r w:rsidR="00814FF9">
        <w:t>2</w:t>
      </w:r>
      <w:r w:rsidR="00814FF9" w:rsidRPr="00814FF9">
        <w:rPr>
          <w:vertAlign w:val="superscript"/>
        </w:rPr>
        <w:t>nd</w:t>
      </w:r>
      <w:r w:rsidR="00814FF9">
        <w:t xml:space="preserve"> </w:t>
      </w:r>
      <w:r>
        <w:t>plaintiff on the said instrument who</w:t>
      </w:r>
      <w:r w:rsidR="00814FF9">
        <w:t xml:space="preserve">se signature she testified </w:t>
      </w:r>
      <w:r>
        <w:t>she knew</w:t>
      </w:r>
      <w:r w:rsidR="00814FF9">
        <w:t>.</w:t>
      </w:r>
      <w:r>
        <w:t xml:space="preserve"> That the said transfer was not registered by the defendant company for no reason whatsoever and that by omitting to do so, the defendant </w:t>
      </w:r>
      <w:r w:rsidR="00814FF9">
        <w:t xml:space="preserve">company breached its </w:t>
      </w:r>
      <w:r>
        <w:t>statutory duty t</w:t>
      </w:r>
      <w:r w:rsidR="00A132F3">
        <w:t>o</w:t>
      </w:r>
      <w:r>
        <w:t xml:space="preserve"> register the said transfer and caused prejudice to the 2</w:t>
      </w:r>
      <w:r w:rsidRPr="006B66BA">
        <w:rPr>
          <w:vertAlign w:val="superscript"/>
        </w:rPr>
        <w:t>nd</w:t>
      </w:r>
      <w:r>
        <w:t xml:space="preserve"> plaintiff. Thus</w:t>
      </w:r>
      <w:r w:rsidR="00814FF9">
        <w:t>,</w:t>
      </w:r>
      <w:r>
        <w:t xml:space="preserve"> she moved as per prayers </w:t>
      </w:r>
      <w:r w:rsidR="00814FF9">
        <w:t xml:space="preserve">at </w:t>
      </w:r>
      <w:r>
        <w:t xml:space="preserve">paragraph [1] </w:t>
      </w:r>
      <w:r w:rsidR="00814FF9">
        <w:t>(supra</w:t>
      </w:r>
      <w:r>
        <w:t>). She also moved for costs.</w:t>
      </w:r>
    </w:p>
    <w:p w14:paraId="2F92B2BC" w14:textId="4A851ADE" w:rsidR="00911BC3" w:rsidRPr="00F26007" w:rsidRDefault="00911BC3" w:rsidP="004340CB">
      <w:pPr>
        <w:pStyle w:val="Jjmntheading1"/>
      </w:pPr>
      <w:r w:rsidRPr="00F26007">
        <w:t xml:space="preserve">Discussion on </w:t>
      </w:r>
      <w:r w:rsidR="006B66BA">
        <w:t xml:space="preserve">the law and Findings </w:t>
      </w:r>
    </w:p>
    <w:p w14:paraId="6EE80329" w14:textId="39083C93" w:rsidR="00911BC3" w:rsidRDefault="006B66BA" w:rsidP="00B54B7E">
      <w:pPr>
        <w:pStyle w:val="JudgmentText"/>
      </w:pPr>
      <w:r>
        <w:t>Section 62 (1) of the International Business Companies Act provides that:</w:t>
      </w:r>
    </w:p>
    <w:p w14:paraId="45F174B0" w14:textId="157C6998" w:rsidR="006B66BA" w:rsidRPr="00814FF9" w:rsidRDefault="006B66BA" w:rsidP="006B66BA">
      <w:pPr>
        <w:pStyle w:val="JudgmentText"/>
        <w:numPr>
          <w:ilvl w:val="0"/>
          <w:numId w:val="0"/>
        </w:numPr>
        <w:ind w:left="720"/>
        <w:rPr>
          <w:i/>
        </w:rPr>
      </w:pPr>
      <w:r w:rsidRPr="00814FF9">
        <w:rPr>
          <w:i/>
        </w:rPr>
        <w:t>‘Subject to subsections (2) and (3) and section 66, registered shares in a company shall be transferred by a written instrument of transfer- (a) signed by the transferor; (b) signed by the transferee; (c) containing the name and address of the transferee.</w:t>
      </w:r>
    </w:p>
    <w:p w14:paraId="17C9F6DF" w14:textId="11FE26F1" w:rsidR="006B66BA" w:rsidRDefault="006B66BA" w:rsidP="004340CB">
      <w:pPr>
        <w:pStyle w:val="JudgmentText"/>
      </w:pPr>
      <w:r>
        <w:t>The evidence of the 1</w:t>
      </w:r>
      <w:r w:rsidRPr="006B66BA">
        <w:rPr>
          <w:vertAlign w:val="superscript"/>
        </w:rPr>
        <w:t>st</w:t>
      </w:r>
      <w:r>
        <w:t xml:space="preserve"> and 2</w:t>
      </w:r>
      <w:r w:rsidRPr="006B66BA">
        <w:rPr>
          <w:vertAlign w:val="superscript"/>
        </w:rPr>
        <w:t>nd</w:t>
      </w:r>
      <w:r>
        <w:t xml:space="preserve"> plaintiffs indicate the scenario of events between the transferor and transferee </w:t>
      </w:r>
      <w:r w:rsidR="00814FF9">
        <w:t>Exhibit P5</w:t>
      </w:r>
      <w:r w:rsidRPr="00814FF9">
        <w:t xml:space="preserve"> </w:t>
      </w:r>
      <w:r>
        <w:t>substituting Exhibit P7.</w:t>
      </w:r>
    </w:p>
    <w:p w14:paraId="24B8578B" w14:textId="77777777" w:rsidR="00814FF9" w:rsidRDefault="006B66BA" w:rsidP="00814FF9">
      <w:pPr>
        <w:pStyle w:val="JudgmentText"/>
      </w:pPr>
      <w:r>
        <w:t>I</w:t>
      </w:r>
      <w:r w:rsidR="00A132F3">
        <w:t xml:space="preserve">n the absence of any evidence </w:t>
      </w:r>
      <w:r>
        <w:t>the contrary from the defendant company to show otherwise, Exhibit P5 constitutes a written instrument of transfer under the said section 62 (1) and the registered shares must be transferred.</w:t>
      </w:r>
    </w:p>
    <w:p w14:paraId="673A3FC7" w14:textId="77196804" w:rsidR="006B66BA" w:rsidRDefault="006B66BA" w:rsidP="00814FF9">
      <w:pPr>
        <w:pStyle w:val="JudgmentText"/>
      </w:pPr>
      <w:r>
        <w:t>Section 62 (5) of the International Business Companies Act further provides that:</w:t>
      </w:r>
    </w:p>
    <w:p w14:paraId="45193E9C" w14:textId="53DC3548" w:rsidR="006B66BA" w:rsidRPr="00814FF9" w:rsidRDefault="00814FF9" w:rsidP="006B66BA">
      <w:pPr>
        <w:pStyle w:val="JudgmentText"/>
        <w:numPr>
          <w:ilvl w:val="0"/>
          <w:numId w:val="0"/>
        </w:numPr>
        <w:ind w:left="720"/>
        <w:rPr>
          <w:i/>
        </w:rPr>
      </w:pPr>
      <w:r>
        <w:rPr>
          <w:i/>
        </w:rPr>
        <w:t>‘</w:t>
      </w:r>
      <w:r w:rsidR="006B66BA" w:rsidRPr="00814FF9">
        <w:rPr>
          <w:i/>
        </w:rPr>
        <w:t>Subject to its memorandum or articles and section 63, the company shall, on receipt of an instrument of transfer, enter the name of the transferee of the share in the register of members unless the directors resolve to refuse or delay the registration of the transfer for reasons that shall be specified in the resolution.’</w:t>
      </w:r>
    </w:p>
    <w:p w14:paraId="73754BD6" w14:textId="4B7BEF63" w:rsidR="006B66BA" w:rsidRDefault="00814FF9" w:rsidP="006B66BA">
      <w:pPr>
        <w:pStyle w:val="JudgmentText"/>
        <w:numPr>
          <w:ilvl w:val="0"/>
          <w:numId w:val="0"/>
        </w:numPr>
        <w:ind w:left="720" w:hanging="720"/>
      </w:pPr>
      <w:r>
        <w:t>[16</w:t>
      </w:r>
      <w:r w:rsidR="006B66BA">
        <w:t>]</w:t>
      </w:r>
      <w:r w:rsidR="006B66BA">
        <w:tab/>
        <w:t>It is evident in the absence of evidence to the contr</w:t>
      </w:r>
      <w:r w:rsidR="00A132F3">
        <w:t xml:space="preserve">ary from the defendant company, </w:t>
      </w:r>
      <w:r w:rsidR="006B66BA">
        <w:t>that the defendant company had to upon receipt of the instrument of transfer, enter the name of the transferee namely, the 2</w:t>
      </w:r>
      <w:r w:rsidR="006B66BA" w:rsidRPr="006B66BA">
        <w:rPr>
          <w:vertAlign w:val="superscript"/>
        </w:rPr>
        <w:t>nd</w:t>
      </w:r>
      <w:r w:rsidR="006B66BA">
        <w:t xml:space="preserve"> plaintiff in the register of members of the defendant company.</w:t>
      </w:r>
    </w:p>
    <w:p w14:paraId="55CE2E62" w14:textId="4C561A8E" w:rsidR="00911BC3" w:rsidRPr="00F26007" w:rsidRDefault="006B66BA" w:rsidP="006B66BA">
      <w:pPr>
        <w:pStyle w:val="Jjmntheading1"/>
      </w:pPr>
      <w:r>
        <w:t xml:space="preserve">Conclusion </w:t>
      </w:r>
    </w:p>
    <w:p w14:paraId="50597AA5" w14:textId="5B3DF9AD" w:rsidR="006B66BA" w:rsidRDefault="006B66BA" w:rsidP="00B54B7E">
      <w:pPr>
        <w:pStyle w:val="JudgmentText"/>
      </w:pPr>
      <w:r>
        <w:t>Following the above discussions and findings, the plaint is upheld that the Court hereby orders as follows:</w:t>
      </w:r>
    </w:p>
    <w:p w14:paraId="0D03C1FB" w14:textId="3D8B5959" w:rsidR="006B66BA" w:rsidRDefault="00717B21" w:rsidP="006B66BA">
      <w:pPr>
        <w:pStyle w:val="JudgmentText"/>
        <w:numPr>
          <w:ilvl w:val="0"/>
          <w:numId w:val="0"/>
        </w:numPr>
        <w:ind w:left="720"/>
      </w:pPr>
      <w:r>
        <w:t>[1</w:t>
      </w:r>
      <w:r w:rsidR="006B66BA">
        <w:t>] that the defendant company Hightech Seed Investments II Ltd is hereby directed to rectify its records and register the registered transfer of shares pursuant to the instrument of transfer between the 1</w:t>
      </w:r>
      <w:r w:rsidR="006B66BA" w:rsidRPr="006B66BA">
        <w:rPr>
          <w:vertAlign w:val="superscript"/>
        </w:rPr>
        <w:t>st</w:t>
      </w:r>
      <w:r w:rsidR="006B66BA">
        <w:t xml:space="preserve"> and 2</w:t>
      </w:r>
      <w:r w:rsidR="006B66BA" w:rsidRPr="006B66BA">
        <w:rPr>
          <w:vertAlign w:val="superscript"/>
        </w:rPr>
        <w:t>nd</w:t>
      </w:r>
      <w:r w:rsidR="006B66BA">
        <w:t xml:space="preserve"> plaintiff</w:t>
      </w:r>
      <w:r w:rsidR="00A132F3">
        <w:t>s</w:t>
      </w:r>
      <w:r w:rsidR="006B66BA">
        <w:t xml:space="preserve"> </w:t>
      </w:r>
      <w:r w:rsidR="006B66BA" w:rsidRPr="00814FF9">
        <w:rPr>
          <w:i/>
        </w:rPr>
        <w:t xml:space="preserve">(Exhibit P5) </w:t>
      </w:r>
      <w:r w:rsidR="006B66BA">
        <w:t>and from the register of members of the defendant company to remove the name of the 1</w:t>
      </w:r>
      <w:r w:rsidR="006B66BA" w:rsidRPr="006B66BA">
        <w:rPr>
          <w:vertAlign w:val="superscript"/>
        </w:rPr>
        <w:t>st</w:t>
      </w:r>
      <w:r w:rsidR="006B66BA">
        <w:t xml:space="preserve"> plaintiff and enter the name of the 2</w:t>
      </w:r>
      <w:r w:rsidR="006B66BA" w:rsidRPr="006B66BA">
        <w:rPr>
          <w:vertAlign w:val="superscript"/>
        </w:rPr>
        <w:t>nd</w:t>
      </w:r>
      <w:r w:rsidR="006B66BA">
        <w:t xml:space="preserve"> plaintiff instead.</w:t>
      </w:r>
    </w:p>
    <w:p w14:paraId="47E74D7C" w14:textId="1E63911B" w:rsidR="006B66BA" w:rsidRDefault="006B66BA" w:rsidP="006B66BA">
      <w:pPr>
        <w:pStyle w:val="JudgmentText"/>
        <w:numPr>
          <w:ilvl w:val="0"/>
          <w:numId w:val="0"/>
        </w:numPr>
        <w:ind w:left="720"/>
      </w:pPr>
      <w:r>
        <w:t>[2]</w:t>
      </w:r>
      <w:r>
        <w:tab/>
        <w:t>Cost is granted as prayed in favo</w:t>
      </w:r>
      <w:r w:rsidR="00A132F3">
        <w:t>u</w:t>
      </w:r>
      <w:r>
        <w:t xml:space="preserve">r of the </w:t>
      </w:r>
      <w:r w:rsidR="00814FF9">
        <w:t>1</w:t>
      </w:r>
      <w:r w:rsidR="00814FF9" w:rsidRPr="00814FF9">
        <w:rPr>
          <w:vertAlign w:val="superscript"/>
        </w:rPr>
        <w:t>st</w:t>
      </w:r>
      <w:r w:rsidR="00814FF9">
        <w:t xml:space="preserve"> </w:t>
      </w:r>
      <w:r>
        <w:t xml:space="preserve">and </w:t>
      </w:r>
      <w:r w:rsidR="00814FF9">
        <w:t>2</w:t>
      </w:r>
      <w:r w:rsidR="00814FF9" w:rsidRPr="00814FF9">
        <w:rPr>
          <w:vertAlign w:val="superscript"/>
        </w:rPr>
        <w:t>nd</w:t>
      </w:r>
      <w:r w:rsidR="00814FF9">
        <w:t xml:space="preserve"> </w:t>
      </w:r>
      <w:r>
        <w:t>plai</w:t>
      </w:r>
      <w:r w:rsidR="00814FF9">
        <w:t>ntiffs as against the defendant company.</w:t>
      </w:r>
    </w:p>
    <w:p w14:paraId="6A7B4066" w14:textId="0C353F94" w:rsidR="006B66BA" w:rsidRDefault="006B66BA" w:rsidP="006B66BA">
      <w:pPr>
        <w:pStyle w:val="JudgmentText"/>
        <w:numPr>
          <w:ilvl w:val="0"/>
          <w:numId w:val="0"/>
        </w:numPr>
        <w:ind w:left="720"/>
      </w:pPr>
      <w:r>
        <w:t>[3] The Registrar is hereby directed to serve a</w:t>
      </w:r>
      <w:r w:rsidR="00814FF9">
        <w:t xml:space="preserve"> copy of the judgment on</w:t>
      </w:r>
      <w:r>
        <w:t xml:space="preserve"> the defendant company with immediate effect. </w:t>
      </w:r>
    </w:p>
    <w:p w14:paraId="397D74A0" w14:textId="77777777" w:rsidR="00582983" w:rsidRPr="00313207" w:rsidRDefault="00582983" w:rsidP="00923654">
      <w:pPr>
        <w:pStyle w:val="JudgmentText"/>
        <w:numPr>
          <w:ilvl w:val="0"/>
          <w:numId w:val="0"/>
        </w:numPr>
        <w:spacing w:after="160"/>
      </w:pPr>
    </w:p>
    <w:p w14:paraId="267567A6" w14:textId="0FA5C122" w:rsidR="00B47E74" w:rsidRPr="00313207" w:rsidRDefault="00833008" w:rsidP="00C211D4">
      <w:pPr>
        <w:pStyle w:val="JudgmentText"/>
        <w:numPr>
          <w:ilvl w:val="0"/>
          <w:numId w:val="0"/>
        </w:numPr>
        <w:spacing w:after="160"/>
        <w:ind w:left="720" w:hanging="720"/>
      </w:pPr>
      <w:r w:rsidRPr="00313207">
        <w:t>Signed, dated</w:t>
      </w:r>
      <w:r w:rsidR="000C0DF6" w:rsidRPr="00313207">
        <w:t>,</w:t>
      </w:r>
      <w:r w:rsidRPr="00313207">
        <w:t xml:space="preserve"> and delivered at Ile du Port on </w:t>
      </w:r>
      <w:r w:rsidR="006B66BA">
        <w:t>28</w:t>
      </w:r>
      <w:r w:rsidR="00C05047">
        <w:t xml:space="preserve"> October </w:t>
      </w:r>
      <w:r w:rsidR="00BC02B0" w:rsidRPr="00313207">
        <w:t>2021.</w:t>
      </w:r>
    </w:p>
    <w:p w14:paraId="4F3EA542" w14:textId="77777777" w:rsidR="00B47E74" w:rsidRDefault="00B47E74" w:rsidP="00B47E74">
      <w:pPr>
        <w:pStyle w:val="JudgmentText"/>
        <w:numPr>
          <w:ilvl w:val="0"/>
          <w:numId w:val="0"/>
        </w:numPr>
        <w:spacing w:after="160"/>
        <w:ind w:left="720" w:hanging="720"/>
      </w:pPr>
    </w:p>
    <w:p w14:paraId="1D507C33" w14:textId="55391B12" w:rsidR="00BD157E" w:rsidRDefault="00BD157E" w:rsidP="00B47E74">
      <w:pPr>
        <w:pStyle w:val="JudgmentText"/>
        <w:numPr>
          <w:ilvl w:val="0"/>
          <w:numId w:val="0"/>
        </w:numPr>
        <w:spacing w:after="160"/>
        <w:ind w:left="720" w:hanging="720"/>
      </w:pPr>
    </w:p>
    <w:p w14:paraId="00D2596D" w14:textId="0E0DA4D6" w:rsidR="00B47E74" w:rsidRDefault="00313DD1" w:rsidP="00B47E74">
      <w:pPr>
        <w:pStyle w:val="JudgmentText"/>
        <w:numPr>
          <w:ilvl w:val="0"/>
          <w:numId w:val="0"/>
        </w:numPr>
        <w:spacing w:after="160"/>
        <w:ind w:left="720" w:hanging="720"/>
      </w:pPr>
      <w:r>
        <w:t>…………………………….</w:t>
      </w:r>
    </w:p>
    <w:p w14:paraId="1469079D" w14:textId="537747BA" w:rsidR="00B47E74" w:rsidRDefault="00B47E74" w:rsidP="00B47E74">
      <w:pPr>
        <w:pStyle w:val="JudgmentText"/>
        <w:numPr>
          <w:ilvl w:val="0"/>
          <w:numId w:val="0"/>
        </w:numPr>
        <w:spacing w:after="160"/>
        <w:ind w:left="720" w:hanging="720"/>
        <w:rPr>
          <w:b/>
        </w:rPr>
      </w:pPr>
      <w:r>
        <w:t>A</w:t>
      </w:r>
      <w:r w:rsidR="00833008" w:rsidRPr="00DC08F2">
        <w:rPr>
          <w:b/>
        </w:rPr>
        <w:t>NDRE J</w:t>
      </w:r>
    </w:p>
    <w:p w14:paraId="22078EE7" w14:textId="05C8D005" w:rsidR="00B47E74" w:rsidRDefault="00B47E74" w:rsidP="00B47E74">
      <w:pPr>
        <w:pStyle w:val="JudgmentText"/>
        <w:numPr>
          <w:ilvl w:val="0"/>
          <w:numId w:val="0"/>
        </w:numPr>
        <w:spacing w:after="160"/>
        <w:ind w:left="720" w:hanging="720"/>
        <w:rPr>
          <w:b/>
        </w:rPr>
      </w:pPr>
    </w:p>
    <w:p w14:paraId="03E0F369" w14:textId="78563656" w:rsidR="00F26007" w:rsidRDefault="00F26007" w:rsidP="00B47E74">
      <w:pPr>
        <w:pStyle w:val="JudgmentText"/>
        <w:numPr>
          <w:ilvl w:val="0"/>
          <w:numId w:val="0"/>
        </w:numPr>
        <w:spacing w:after="160"/>
        <w:ind w:left="720" w:hanging="720"/>
        <w:rPr>
          <w:b/>
        </w:rPr>
      </w:pPr>
    </w:p>
    <w:p w14:paraId="1E6F7143" w14:textId="62E2D285" w:rsidR="00F26007" w:rsidRDefault="00F26007" w:rsidP="00B47E74">
      <w:pPr>
        <w:pStyle w:val="JudgmentText"/>
        <w:numPr>
          <w:ilvl w:val="0"/>
          <w:numId w:val="0"/>
        </w:numPr>
        <w:spacing w:after="160"/>
        <w:ind w:left="720" w:hanging="720"/>
        <w:rPr>
          <w:b/>
        </w:rPr>
      </w:pPr>
    </w:p>
    <w:p w14:paraId="32B325B6" w14:textId="48392F7D" w:rsidR="00F26007" w:rsidRDefault="00F26007" w:rsidP="00B47E74">
      <w:pPr>
        <w:pStyle w:val="JudgmentText"/>
        <w:numPr>
          <w:ilvl w:val="0"/>
          <w:numId w:val="0"/>
        </w:numPr>
        <w:spacing w:after="160"/>
        <w:ind w:left="720" w:hanging="720"/>
        <w:rPr>
          <w:b/>
        </w:rPr>
      </w:pPr>
    </w:p>
    <w:p w14:paraId="54DFA2B4" w14:textId="2AE028B6" w:rsidR="00F26007" w:rsidRDefault="00F26007" w:rsidP="00B47E74">
      <w:pPr>
        <w:pStyle w:val="JudgmentText"/>
        <w:numPr>
          <w:ilvl w:val="0"/>
          <w:numId w:val="0"/>
        </w:numPr>
        <w:spacing w:after="160"/>
        <w:ind w:left="720" w:hanging="720"/>
        <w:rPr>
          <w:b/>
        </w:rPr>
      </w:pPr>
    </w:p>
    <w:p w14:paraId="74869871" w14:textId="7E7D6F93" w:rsidR="00F26007" w:rsidRDefault="00F26007" w:rsidP="00B47E74">
      <w:pPr>
        <w:pStyle w:val="JudgmentText"/>
        <w:numPr>
          <w:ilvl w:val="0"/>
          <w:numId w:val="0"/>
        </w:numPr>
        <w:spacing w:after="160"/>
        <w:ind w:left="720" w:hanging="720"/>
        <w:rPr>
          <w:b/>
        </w:rPr>
      </w:pPr>
    </w:p>
    <w:p w14:paraId="2D2E64F2" w14:textId="2DC4BF2F" w:rsidR="00F26007" w:rsidRDefault="00F26007" w:rsidP="00B47E74">
      <w:pPr>
        <w:pStyle w:val="JudgmentText"/>
        <w:numPr>
          <w:ilvl w:val="0"/>
          <w:numId w:val="0"/>
        </w:numPr>
        <w:spacing w:after="160"/>
        <w:ind w:left="720" w:hanging="720"/>
        <w:rPr>
          <w:b/>
        </w:rPr>
      </w:pPr>
    </w:p>
    <w:p w14:paraId="6FE726B8" w14:textId="0EE54B1A" w:rsidR="00F26007" w:rsidRDefault="00F26007" w:rsidP="00B47E74">
      <w:pPr>
        <w:pStyle w:val="JudgmentText"/>
        <w:numPr>
          <w:ilvl w:val="0"/>
          <w:numId w:val="0"/>
        </w:numPr>
        <w:spacing w:after="160"/>
        <w:ind w:left="720" w:hanging="720"/>
        <w:rPr>
          <w:b/>
        </w:rPr>
      </w:pPr>
    </w:p>
    <w:p w14:paraId="0D7EE3AE" w14:textId="16051D85" w:rsidR="00F26007" w:rsidRDefault="00F26007" w:rsidP="00B47E74">
      <w:pPr>
        <w:pStyle w:val="JudgmentText"/>
        <w:numPr>
          <w:ilvl w:val="0"/>
          <w:numId w:val="0"/>
        </w:numPr>
        <w:spacing w:after="160"/>
        <w:ind w:left="720" w:hanging="720"/>
        <w:rPr>
          <w:b/>
        </w:rPr>
      </w:pPr>
    </w:p>
    <w:p w14:paraId="5D4A3B46" w14:textId="16D9381F" w:rsidR="00F26007" w:rsidRDefault="00F26007" w:rsidP="00B47E74">
      <w:pPr>
        <w:pStyle w:val="JudgmentText"/>
        <w:numPr>
          <w:ilvl w:val="0"/>
          <w:numId w:val="0"/>
        </w:numPr>
        <w:spacing w:after="160"/>
        <w:ind w:left="720" w:hanging="720"/>
        <w:rPr>
          <w:b/>
        </w:rPr>
      </w:pPr>
    </w:p>
    <w:p w14:paraId="264ABCF4" w14:textId="77777777" w:rsidR="00F26007" w:rsidRDefault="00F26007" w:rsidP="00B47E74">
      <w:pPr>
        <w:pStyle w:val="JudgmentText"/>
        <w:numPr>
          <w:ilvl w:val="0"/>
          <w:numId w:val="0"/>
        </w:numPr>
        <w:spacing w:after="160"/>
        <w:ind w:left="720" w:hanging="720"/>
        <w:rPr>
          <w:b/>
        </w:rPr>
      </w:pPr>
    </w:p>
    <w:p w14:paraId="139C7CBF" w14:textId="237DEB76" w:rsidR="00F26007" w:rsidRDefault="00F26007" w:rsidP="00B47E74">
      <w:pPr>
        <w:pStyle w:val="JudgmentText"/>
        <w:numPr>
          <w:ilvl w:val="0"/>
          <w:numId w:val="0"/>
        </w:numPr>
        <w:spacing w:after="160"/>
        <w:ind w:left="720" w:hanging="720"/>
        <w:rPr>
          <w:b/>
        </w:rPr>
      </w:pPr>
    </w:p>
    <w:p w14:paraId="30BEDDE4" w14:textId="7C4212F2" w:rsidR="00F26007" w:rsidRDefault="00F26007" w:rsidP="00B47E74">
      <w:pPr>
        <w:pStyle w:val="JudgmentText"/>
        <w:numPr>
          <w:ilvl w:val="0"/>
          <w:numId w:val="0"/>
        </w:numPr>
        <w:spacing w:after="160"/>
        <w:ind w:left="720" w:hanging="720"/>
        <w:rPr>
          <w:b/>
        </w:rPr>
      </w:pPr>
    </w:p>
    <w:p w14:paraId="0DDDC8E0" w14:textId="216D947C" w:rsidR="00F26007" w:rsidRDefault="00F26007" w:rsidP="00B47E74">
      <w:pPr>
        <w:pStyle w:val="JudgmentText"/>
        <w:numPr>
          <w:ilvl w:val="0"/>
          <w:numId w:val="0"/>
        </w:numPr>
        <w:spacing w:after="160"/>
        <w:ind w:left="720" w:hanging="720"/>
        <w:rPr>
          <w:b/>
        </w:rPr>
      </w:pPr>
    </w:p>
    <w:p w14:paraId="77E82784" w14:textId="77777777" w:rsidR="00F26007" w:rsidRPr="00F26007" w:rsidRDefault="00F26007" w:rsidP="00F26007">
      <w:pPr>
        <w:spacing w:after="0" w:line="240" w:lineRule="auto"/>
        <w:jc w:val="both"/>
        <w:rPr>
          <w:rFonts w:ascii="Times New Roman" w:hAnsi="Times New Roman" w:cs="Times New Roman"/>
          <w:b/>
          <w:sz w:val="24"/>
          <w:szCs w:val="24"/>
        </w:rPr>
      </w:pPr>
    </w:p>
    <w:p w14:paraId="79CCE5C8" w14:textId="247A171F" w:rsidR="00F26007" w:rsidRPr="00F26007" w:rsidRDefault="00F26007" w:rsidP="00B47E74">
      <w:pPr>
        <w:pStyle w:val="JudgmentText"/>
        <w:numPr>
          <w:ilvl w:val="0"/>
          <w:numId w:val="0"/>
        </w:numPr>
        <w:spacing w:after="160"/>
        <w:ind w:left="720" w:hanging="720"/>
        <w:rPr>
          <w:b/>
        </w:rPr>
      </w:pPr>
    </w:p>
    <w:p w14:paraId="7AD5D5D4" w14:textId="77777777" w:rsidR="00F26007" w:rsidRPr="00F26007" w:rsidRDefault="00F26007" w:rsidP="00B47E74">
      <w:pPr>
        <w:pStyle w:val="JudgmentText"/>
        <w:numPr>
          <w:ilvl w:val="0"/>
          <w:numId w:val="0"/>
        </w:numPr>
        <w:spacing w:after="160"/>
        <w:ind w:left="720" w:hanging="720"/>
        <w:rPr>
          <w:b/>
        </w:rPr>
      </w:pPr>
    </w:p>
    <w:p w14:paraId="56D7E8D4" w14:textId="436550F1" w:rsidR="00B47E74" w:rsidRPr="00F26007" w:rsidRDefault="00B47E74" w:rsidP="00B47E74">
      <w:pPr>
        <w:pStyle w:val="JudgmentText"/>
        <w:numPr>
          <w:ilvl w:val="0"/>
          <w:numId w:val="0"/>
        </w:numPr>
        <w:spacing w:after="160"/>
        <w:ind w:left="720" w:hanging="720"/>
        <w:rPr>
          <w:b/>
        </w:rPr>
      </w:pPr>
    </w:p>
    <w:p w14:paraId="20DF09DD" w14:textId="59B57907" w:rsidR="00B47E74" w:rsidRPr="00F26007" w:rsidRDefault="00B47E74" w:rsidP="00B47E74">
      <w:pPr>
        <w:pStyle w:val="JudgmentText"/>
        <w:numPr>
          <w:ilvl w:val="0"/>
          <w:numId w:val="0"/>
        </w:numPr>
        <w:spacing w:after="160"/>
        <w:ind w:left="720" w:hanging="720"/>
        <w:rPr>
          <w:b/>
        </w:rPr>
      </w:pPr>
    </w:p>
    <w:p w14:paraId="21F0F251" w14:textId="1EFE6773" w:rsidR="00B47E74" w:rsidRPr="00F26007" w:rsidRDefault="00B47E74" w:rsidP="00B47E74">
      <w:pPr>
        <w:pStyle w:val="JudgmentText"/>
        <w:numPr>
          <w:ilvl w:val="0"/>
          <w:numId w:val="0"/>
        </w:numPr>
        <w:spacing w:after="160"/>
        <w:ind w:left="720" w:hanging="720"/>
        <w:rPr>
          <w:b/>
        </w:rPr>
      </w:pPr>
    </w:p>
    <w:sectPr w:rsidR="00B47E74" w:rsidRPr="00F26007"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44CB9" w14:textId="77777777" w:rsidR="00977F61" w:rsidRDefault="00977F61" w:rsidP="006A68E2">
      <w:pPr>
        <w:spacing w:after="0" w:line="240" w:lineRule="auto"/>
      </w:pPr>
      <w:r>
        <w:separator/>
      </w:r>
    </w:p>
  </w:endnote>
  <w:endnote w:type="continuationSeparator" w:id="0">
    <w:p w14:paraId="561100DD" w14:textId="77777777" w:rsidR="00977F61" w:rsidRDefault="00977F6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416452C4" w14:textId="5F246565" w:rsidR="007F59C5" w:rsidRDefault="007F59C5">
        <w:pPr>
          <w:pStyle w:val="Footer"/>
          <w:jc w:val="center"/>
        </w:pPr>
        <w:r>
          <w:fldChar w:fldCharType="begin"/>
        </w:r>
        <w:r>
          <w:instrText xml:space="preserve"> PAGE   \* MERGEFORMAT </w:instrText>
        </w:r>
        <w:r>
          <w:fldChar w:fldCharType="separate"/>
        </w:r>
        <w:r w:rsidR="007B71F2">
          <w:rPr>
            <w:noProof/>
          </w:rPr>
          <w:t>1</w:t>
        </w:r>
        <w:r>
          <w:rPr>
            <w:noProof/>
          </w:rPr>
          <w:fldChar w:fldCharType="end"/>
        </w:r>
      </w:p>
    </w:sdtContent>
  </w:sdt>
  <w:p w14:paraId="40C81301" w14:textId="77777777" w:rsidR="007F59C5" w:rsidRDefault="007F5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357EC" w14:textId="77777777" w:rsidR="00977F61" w:rsidRDefault="00977F61" w:rsidP="006A68E2">
      <w:pPr>
        <w:spacing w:after="0" w:line="240" w:lineRule="auto"/>
      </w:pPr>
      <w:r>
        <w:separator/>
      </w:r>
    </w:p>
  </w:footnote>
  <w:footnote w:type="continuationSeparator" w:id="0">
    <w:p w14:paraId="00405A37" w14:textId="77777777" w:rsidR="00977F61" w:rsidRDefault="00977F61"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F168D"/>
    <w:multiLevelType w:val="hybridMultilevel"/>
    <w:tmpl w:val="31B2F916"/>
    <w:lvl w:ilvl="0" w:tplc="661EECB2">
      <w:start w:val="1"/>
      <w:numFmt w:val="decimal"/>
      <w:pStyle w:val="helds"/>
      <w:lvlText w:val="%1"/>
      <w:lvlJc w:val="left"/>
      <w:pPr>
        <w:ind w:left="27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14090019">
      <w:start w:val="1"/>
      <w:numFmt w:val="lowerLetter"/>
      <w:lvlText w:val="(%2)"/>
      <w:lvlJc w:val="left"/>
      <w:pPr>
        <w:tabs>
          <w:tab w:val="num" w:pos="1208"/>
        </w:tabs>
        <w:ind w:left="120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tplc="1409001B">
      <w:start w:val="1"/>
      <w:numFmt w:val="lowerRoman"/>
      <w:lvlText w:val="%3."/>
      <w:lvlJc w:val="right"/>
      <w:pPr>
        <w:tabs>
          <w:tab w:val="num" w:pos="1928"/>
        </w:tabs>
        <w:ind w:left="1928" w:hanging="180"/>
      </w:pPr>
    </w:lvl>
    <w:lvl w:ilvl="3" w:tplc="1409000F" w:tentative="1">
      <w:start w:val="1"/>
      <w:numFmt w:val="decimal"/>
      <w:lvlText w:val="%4."/>
      <w:lvlJc w:val="left"/>
      <w:pPr>
        <w:tabs>
          <w:tab w:val="num" w:pos="2648"/>
        </w:tabs>
        <w:ind w:left="2648" w:hanging="360"/>
      </w:pPr>
    </w:lvl>
    <w:lvl w:ilvl="4" w:tplc="14090019" w:tentative="1">
      <w:start w:val="1"/>
      <w:numFmt w:val="lowerLetter"/>
      <w:lvlText w:val="%5."/>
      <w:lvlJc w:val="left"/>
      <w:pPr>
        <w:tabs>
          <w:tab w:val="num" w:pos="3368"/>
        </w:tabs>
        <w:ind w:left="3368" w:hanging="360"/>
      </w:pPr>
    </w:lvl>
    <w:lvl w:ilvl="5" w:tplc="1409001B" w:tentative="1">
      <w:start w:val="1"/>
      <w:numFmt w:val="lowerRoman"/>
      <w:lvlText w:val="%6."/>
      <w:lvlJc w:val="right"/>
      <w:pPr>
        <w:tabs>
          <w:tab w:val="num" w:pos="4088"/>
        </w:tabs>
        <w:ind w:left="4088" w:hanging="180"/>
      </w:pPr>
    </w:lvl>
    <w:lvl w:ilvl="6" w:tplc="1409000F" w:tentative="1">
      <w:start w:val="1"/>
      <w:numFmt w:val="decimal"/>
      <w:lvlText w:val="%7."/>
      <w:lvlJc w:val="left"/>
      <w:pPr>
        <w:tabs>
          <w:tab w:val="num" w:pos="4808"/>
        </w:tabs>
        <w:ind w:left="4808" w:hanging="360"/>
      </w:pPr>
    </w:lvl>
    <w:lvl w:ilvl="7" w:tplc="14090019" w:tentative="1">
      <w:start w:val="1"/>
      <w:numFmt w:val="lowerLetter"/>
      <w:lvlText w:val="%8."/>
      <w:lvlJc w:val="left"/>
      <w:pPr>
        <w:tabs>
          <w:tab w:val="num" w:pos="5528"/>
        </w:tabs>
        <w:ind w:left="5528" w:hanging="360"/>
      </w:pPr>
    </w:lvl>
    <w:lvl w:ilvl="8" w:tplc="1409001B" w:tentative="1">
      <w:start w:val="1"/>
      <w:numFmt w:val="lowerRoman"/>
      <w:lvlText w:val="%9."/>
      <w:lvlJc w:val="right"/>
      <w:pPr>
        <w:tabs>
          <w:tab w:val="num" w:pos="6248"/>
        </w:tabs>
        <w:ind w:left="6248" w:hanging="180"/>
      </w:pPr>
    </w:lvl>
  </w:abstractNum>
  <w:abstractNum w:abstractNumId="1"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8E64DF"/>
    <w:multiLevelType w:val="hybridMultilevel"/>
    <w:tmpl w:val="743A34D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1513F81"/>
    <w:multiLevelType w:val="hybridMultilevel"/>
    <w:tmpl w:val="FAAADCA8"/>
    <w:lvl w:ilvl="0" w:tplc="C03424E0">
      <w:start w:val="1"/>
      <w:numFmt w:val="lowerLetter"/>
      <w:pStyle w:val="heldsletters"/>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33DA7E9E"/>
    <w:multiLevelType w:val="hybridMultilevel"/>
    <w:tmpl w:val="743A34D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364AEA"/>
    <w:multiLevelType w:val="hybridMultilevel"/>
    <w:tmpl w:val="6FD02252"/>
    <w:lvl w:ilvl="0" w:tplc="567C58FC">
      <w:start w:val="1"/>
      <w:numFmt w:val="lowerLetter"/>
      <w:pStyle w:val="Numbered"/>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
  </w:num>
  <w:num w:numId="2">
    <w:abstractNumId w:val="4"/>
  </w:num>
  <w:num w:numId="3">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7"/>
  </w:num>
  <w:num w:numId="5">
    <w:abstractNumId w:val="0"/>
  </w:num>
  <w:num w:numId="6">
    <w:abstractNumId w:val="8"/>
  </w:num>
  <w:num w:numId="7">
    <w:abstractNumId w:val="5"/>
  </w:num>
  <w:num w:numId="8">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2340" w:hanging="720"/>
        </w:pPr>
        <w:rPr>
          <w:rFonts w:hint="default"/>
          <w:b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9">
    <w:abstractNumId w:val="6"/>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CkqbmhmZmBiZmhko6SsGpxcWZ+XkgBea1ANQ3+2ssAAAA"/>
  </w:docVars>
  <w:rsids>
    <w:rsidRoot w:val="00833008"/>
    <w:rsid w:val="00015BEF"/>
    <w:rsid w:val="00025CDF"/>
    <w:rsid w:val="00026977"/>
    <w:rsid w:val="000365B4"/>
    <w:rsid w:val="00040193"/>
    <w:rsid w:val="00071B84"/>
    <w:rsid w:val="0008560D"/>
    <w:rsid w:val="0009242F"/>
    <w:rsid w:val="00097D19"/>
    <w:rsid w:val="000C0CDF"/>
    <w:rsid w:val="000C0DF6"/>
    <w:rsid w:val="000C51C2"/>
    <w:rsid w:val="000C7B8D"/>
    <w:rsid w:val="001135C2"/>
    <w:rsid w:val="001262DF"/>
    <w:rsid w:val="001428B9"/>
    <w:rsid w:val="00152F33"/>
    <w:rsid w:val="00154167"/>
    <w:rsid w:val="001723B1"/>
    <w:rsid w:val="001843B7"/>
    <w:rsid w:val="001C78EC"/>
    <w:rsid w:val="001D33D2"/>
    <w:rsid w:val="001E28B9"/>
    <w:rsid w:val="001F6FA2"/>
    <w:rsid w:val="002015F8"/>
    <w:rsid w:val="00212006"/>
    <w:rsid w:val="0021402A"/>
    <w:rsid w:val="00214DB4"/>
    <w:rsid w:val="00234F97"/>
    <w:rsid w:val="00235626"/>
    <w:rsid w:val="002376EE"/>
    <w:rsid w:val="00243AE1"/>
    <w:rsid w:val="00294346"/>
    <w:rsid w:val="002A2251"/>
    <w:rsid w:val="002B637F"/>
    <w:rsid w:val="002D4EB8"/>
    <w:rsid w:val="002E2AE3"/>
    <w:rsid w:val="002F5960"/>
    <w:rsid w:val="00313207"/>
    <w:rsid w:val="003137B8"/>
    <w:rsid w:val="00313DD1"/>
    <w:rsid w:val="00344425"/>
    <w:rsid w:val="00346D7F"/>
    <w:rsid w:val="003615E7"/>
    <w:rsid w:val="00380619"/>
    <w:rsid w:val="003A6C9E"/>
    <w:rsid w:val="003E2E94"/>
    <w:rsid w:val="00403F4C"/>
    <w:rsid w:val="00405958"/>
    <w:rsid w:val="00412994"/>
    <w:rsid w:val="00412E27"/>
    <w:rsid w:val="004340CB"/>
    <w:rsid w:val="00456496"/>
    <w:rsid w:val="00463B4E"/>
    <w:rsid w:val="00472219"/>
    <w:rsid w:val="00484331"/>
    <w:rsid w:val="004A2599"/>
    <w:rsid w:val="004C16E0"/>
    <w:rsid w:val="004C4389"/>
    <w:rsid w:val="004F5B79"/>
    <w:rsid w:val="005023E6"/>
    <w:rsid w:val="00552245"/>
    <w:rsid w:val="00561ED5"/>
    <w:rsid w:val="00582983"/>
    <w:rsid w:val="005A5FCB"/>
    <w:rsid w:val="005B12AA"/>
    <w:rsid w:val="005E2885"/>
    <w:rsid w:val="005F23E7"/>
    <w:rsid w:val="0061354A"/>
    <w:rsid w:val="0061380F"/>
    <w:rsid w:val="00624368"/>
    <w:rsid w:val="00635504"/>
    <w:rsid w:val="00652326"/>
    <w:rsid w:val="00652CF3"/>
    <w:rsid w:val="00661701"/>
    <w:rsid w:val="00662CEA"/>
    <w:rsid w:val="006702DB"/>
    <w:rsid w:val="00693DD2"/>
    <w:rsid w:val="00697D6A"/>
    <w:rsid w:val="006A68E2"/>
    <w:rsid w:val="006B504D"/>
    <w:rsid w:val="006B66BA"/>
    <w:rsid w:val="0070371E"/>
    <w:rsid w:val="00706618"/>
    <w:rsid w:val="00717B21"/>
    <w:rsid w:val="00722761"/>
    <w:rsid w:val="0073126D"/>
    <w:rsid w:val="007313ED"/>
    <w:rsid w:val="0079468E"/>
    <w:rsid w:val="00796AB6"/>
    <w:rsid w:val="00796B89"/>
    <w:rsid w:val="007B5D49"/>
    <w:rsid w:val="007B71F2"/>
    <w:rsid w:val="007C01A1"/>
    <w:rsid w:val="007D25FE"/>
    <w:rsid w:val="007D3806"/>
    <w:rsid w:val="007F40E2"/>
    <w:rsid w:val="007F45BA"/>
    <w:rsid w:val="007F59C5"/>
    <w:rsid w:val="008001C8"/>
    <w:rsid w:val="00802798"/>
    <w:rsid w:val="00814D37"/>
    <w:rsid w:val="00814FF9"/>
    <w:rsid w:val="00822A49"/>
    <w:rsid w:val="00824D50"/>
    <w:rsid w:val="00833008"/>
    <w:rsid w:val="00834D59"/>
    <w:rsid w:val="008507C2"/>
    <w:rsid w:val="008577B7"/>
    <w:rsid w:val="00874506"/>
    <w:rsid w:val="008827B1"/>
    <w:rsid w:val="008B2407"/>
    <w:rsid w:val="008B6024"/>
    <w:rsid w:val="008B7BB2"/>
    <w:rsid w:val="008D5ECA"/>
    <w:rsid w:val="008E771B"/>
    <w:rsid w:val="0091126D"/>
    <w:rsid w:val="00911BC3"/>
    <w:rsid w:val="00923654"/>
    <w:rsid w:val="009338D9"/>
    <w:rsid w:val="00934462"/>
    <w:rsid w:val="00937E23"/>
    <w:rsid w:val="009539C2"/>
    <w:rsid w:val="00977F61"/>
    <w:rsid w:val="009A61FF"/>
    <w:rsid w:val="009A769C"/>
    <w:rsid w:val="009B495E"/>
    <w:rsid w:val="009D4C8F"/>
    <w:rsid w:val="009F125D"/>
    <w:rsid w:val="00A132F3"/>
    <w:rsid w:val="00A149E2"/>
    <w:rsid w:val="00A2058F"/>
    <w:rsid w:val="00A248B9"/>
    <w:rsid w:val="00A829DF"/>
    <w:rsid w:val="00AA311A"/>
    <w:rsid w:val="00AC2F4F"/>
    <w:rsid w:val="00AC4326"/>
    <w:rsid w:val="00AC543A"/>
    <w:rsid w:val="00AC69D1"/>
    <w:rsid w:val="00AD5FCA"/>
    <w:rsid w:val="00B0010A"/>
    <w:rsid w:val="00B0103F"/>
    <w:rsid w:val="00B03209"/>
    <w:rsid w:val="00B3111D"/>
    <w:rsid w:val="00B47E74"/>
    <w:rsid w:val="00B54B7E"/>
    <w:rsid w:val="00B57422"/>
    <w:rsid w:val="00B64F24"/>
    <w:rsid w:val="00B81C9A"/>
    <w:rsid w:val="00B829D4"/>
    <w:rsid w:val="00B950DF"/>
    <w:rsid w:val="00BB1A3E"/>
    <w:rsid w:val="00BB7437"/>
    <w:rsid w:val="00BC02B0"/>
    <w:rsid w:val="00BC73B1"/>
    <w:rsid w:val="00BD157E"/>
    <w:rsid w:val="00BF2E80"/>
    <w:rsid w:val="00C05047"/>
    <w:rsid w:val="00C2466E"/>
    <w:rsid w:val="00C65FA5"/>
    <w:rsid w:val="00C75680"/>
    <w:rsid w:val="00C8485F"/>
    <w:rsid w:val="00C928BD"/>
    <w:rsid w:val="00CC437E"/>
    <w:rsid w:val="00CD08E6"/>
    <w:rsid w:val="00CD09C7"/>
    <w:rsid w:val="00D00038"/>
    <w:rsid w:val="00D02400"/>
    <w:rsid w:val="00D16BA9"/>
    <w:rsid w:val="00D31F1B"/>
    <w:rsid w:val="00D33DBF"/>
    <w:rsid w:val="00D605CA"/>
    <w:rsid w:val="00D710E7"/>
    <w:rsid w:val="00D912FC"/>
    <w:rsid w:val="00DA609C"/>
    <w:rsid w:val="00DC08F2"/>
    <w:rsid w:val="00DF0DD6"/>
    <w:rsid w:val="00DF2899"/>
    <w:rsid w:val="00E02B0D"/>
    <w:rsid w:val="00E1659A"/>
    <w:rsid w:val="00E25A25"/>
    <w:rsid w:val="00E32A89"/>
    <w:rsid w:val="00E70658"/>
    <w:rsid w:val="00E87DD2"/>
    <w:rsid w:val="00EC3398"/>
    <w:rsid w:val="00EC558D"/>
    <w:rsid w:val="00EC65AD"/>
    <w:rsid w:val="00ED0BFC"/>
    <w:rsid w:val="00EE206D"/>
    <w:rsid w:val="00EF13E2"/>
    <w:rsid w:val="00EF7EDD"/>
    <w:rsid w:val="00F24D80"/>
    <w:rsid w:val="00F26007"/>
    <w:rsid w:val="00F30468"/>
    <w:rsid w:val="00F33B83"/>
    <w:rsid w:val="00F61CAD"/>
    <w:rsid w:val="00F64F3D"/>
    <w:rsid w:val="00F87505"/>
    <w:rsid w:val="00FF05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B6946"/>
  <w15:docId w15:val="{F3780B62-4B13-4ADF-94E2-D4F79B2B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833008"/>
    <w:pPr>
      <w:spacing w:before="100" w:beforeAutospacing="1" w:after="100" w:afterAutospacing="1" w:line="240" w:lineRule="auto"/>
      <w:outlineLvl w:val="0"/>
    </w:pPr>
    <w:rPr>
      <w:rFonts w:ascii="Times New Roman" w:eastAsia="Times New Roman" w:hAnsi="Times New Roman" w:cs="Times New Roman"/>
      <w:b/>
      <w:bCs/>
      <w:caps/>
      <w:kern w:val="36"/>
      <w:szCs w:val="48"/>
      <w:lang w:val="en-US"/>
    </w:rPr>
  </w:style>
  <w:style w:type="paragraph" w:styleId="Heading2">
    <w:name w:val="heading 2"/>
    <w:basedOn w:val="Normal"/>
    <w:next w:val="Normal"/>
    <w:link w:val="Heading2Char"/>
    <w:uiPriority w:val="9"/>
    <w:unhideWhenUsed/>
    <w:qFormat/>
    <w:rsid w:val="00833008"/>
    <w:pPr>
      <w:spacing w:before="120" w:after="280"/>
      <w:outlineLvl w:val="1"/>
    </w:pPr>
    <w:rPr>
      <w:rFonts w:ascii="Times New Roman" w:hAnsi="Times New Roman" w:cs="Times New Roman"/>
      <w:b/>
      <w:sz w:val="24"/>
      <w:lang w:val="en-US"/>
    </w:rPr>
  </w:style>
  <w:style w:type="paragraph" w:styleId="Heading3">
    <w:name w:val="heading 3"/>
    <w:basedOn w:val="Normal"/>
    <w:next w:val="Normal"/>
    <w:link w:val="Heading3Char"/>
    <w:uiPriority w:val="9"/>
    <w:unhideWhenUsed/>
    <w:qFormat/>
    <w:rsid w:val="00833008"/>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Heading3"/>
    <w:next w:val="Normal"/>
    <w:link w:val="Heading4Char"/>
    <w:uiPriority w:val="9"/>
    <w:unhideWhenUsed/>
    <w:rsid w:val="00833008"/>
    <w:pPr>
      <w:keepNext w:val="0"/>
      <w:keepLines w:val="0"/>
      <w:spacing w:before="240" w:after="120"/>
      <w:ind w:firstLine="360"/>
      <w:outlineLvl w:val="3"/>
    </w:pPr>
    <w:rPr>
      <w:rFonts w:ascii="Times New Roman" w:eastAsiaTheme="minorHAnsi" w:hAnsi="Times New Roman" w:cs="Times New Roman"/>
      <w: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833008"/>
    <w:rPr>
      <w:rFonts w:ascii="Times New Roman" w:eastAsia="Times New Roman" w:hAnsi="Times New Roman" w:cs="Times New Roman"/>
      <w:b/>
      <w:bCs/>
      <w:caps/>
      <w:kern w:val="36"/>
      <w:szCs w:val="48"/>
    </w:rPr>
  </w:style>
  <w:style w:type="character" w:customStyle="1" w:styleId="Heading2Char">
    <w:name w:val="Heading 2 Char"/>
    <w:basedOn w:val="DefaultParagraphFont"/>
    <w:link w:val="Heading2"/>
    <w:uiPriority w:val="9"/>
    <w:rsid w:val="00833008"/>
    <w:rPr>
      <w:rFonts w:ascii="Times New Roman" w:hAnsi="Times New Roman" w:cs="Times New Roman"/>
      <w:b/>
      <w:sz w:val="24"/>
    </w:rPr>
  </w:style>
  <w:style w:type="character" w:customStyle="1" w:styleId="Heading3Char">
    <w:name w:val="Heading 3 Char"/>
    <w:basedOn w:val="DefaultParagraphFont"/>
    <w:link w:val="Heading3"/>
    <w:uiPriority w:val="9"/>
    <w:rsid w:val="0083300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33008"/>
    <w:rPr>
      <w:rFonts w:ascii="Times New Roman" w:hAnsi="Times New Roman" w:cs="Times New Roman"/>
      <w:i/>
      <w:sz w:val="24"/>
    </w:rPr>
  </w:style>
  <w:style w:type="character" w:styleId="Emphasis">
    <w:name w:val="Emphasis"/>
    <w:basedOn w:val="DefaultParagraphFont"/>
    <w:uiPriority w:val="20"/>
    <w:qFormat/>
    <w:rsid w:val="00833008"/>
    <w:rPr>
      <w:i/>
      <w:iCs/>
    </w:rPr>
  </w:style>
  <w:style w:type="paragraph" w:customStyle="1" w:styleId="estatutes-1-section">
    <w:name w:val="estatutes-1-section"/>
    <w:basedOn w:val="Normal"/>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833008"/>
    <w:pPr>
      <w:spacing w:after="0" w:line="240" w:lineRule="auto"/>
    </w:pPr>
    <w:rPr>
      <w:sz w:val="20"/>
      <w:szCs w:val="20"/>
    </w:rPr>
  </w:style>
  <w:style w:type="character" w:customStyle="1" w:styleId="FootnoteTextChar">
    <w:name w:val="Footnote Text Char"/>
    <w:basedOn w:val="DefaultParagraphFont"/>
    <w:link w:val="FootnoteText"/>
    <w:uiPriority w:val="99"/>
    <w:rsid w:val="00833008"/>
    <w:rPr>
      <w:sz w:val="20"/>
      <w:szCs w:val="20"/>
      <w:lang w:val="en-GB"/>
    </w:rPr>
  </w:style>
  <w:style w:type="character" w:styleId="FootnoteReference">
    <w:name w:val="footnote reference"/>
    <w:basedOn w:val="DefaultParagraphFont"/>
    <w:uiPriority w:val="99"/>
    <w:unhideWhenUsed/>
    <w:rsid w:val="00833008"/>
    <w:rPr>
      <w:vertAlign w:val="superscript"/>
    </w:rPr>
  </w:style>
  <w:style w:type="character" w:customStyle="1" w:styleId="apple-converted-space">
    <w:name w:val="apple-converted-space"/>
    <w:basedOn w:val="DefaultParagraphFont"/>
    <w:rsid w:val="00833008"/>
  </w:style>
  <w:style w:type="paragraph" w:styleId="EndnoteText">
    <w:name w:val="endnote text"/>
    <w:basedOn w:val="Normal"/>
    <w:link w:val="EndnoteTextChar"/>
    <w:uiPriority w:val="99"/>
    <w:semiHidden/>
    <w:unhideWhenUsed/>
    <w:rsid w:val="00833008"/>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833008"/>
    <w:rPr>
      <w:sz w:val="20"/>
      <w:szCs w:val="20"/>
    </w:rPr>
  </w:style>
  <w:style w:type="character" w:styleId="EndnoteReference">
    <w:name w:val="endnote reference"/>
    <w:basedOn w:val="DefaultParagraphFont"/>
    <w:uiPriority w:val="99"/>
    <w:semiHidden/>
    <w:unhideWhenUsed/>
    <w:rsid w:val="00833008"/>
    <w:rPr>
      <w:vertAlign w:val="superscript"/>
    </w:rPr>
  </w:style>
  <w:style w:type="paragraph" w:styleId="NoSpacing">
    <w:name w:val="No Spacing"/>
    <w:uiPriority w:val="1"/>
    <w:qFormat/>
    <w:rsid w:val="00833008"/>
    <w:pPr>
      <w:spacing w:after="0" w:line="240" w:lineRule="auto"/>
    </w:pPr>
    <w:rPr>
      <w:rFonts w:ascii="Times New Roman" w:hAnsi="Times New Roman"/>
    </w:rPr>
  </w:style>
  <w:style w:type="paragraph" w:styleId="Quote">
    <w:name w:val="Quote"/>
    <w:basedOn w:val="Normal"/>
    <w:next w:val="Normal"/>
    <w:link w:val="QuoteChar"/>
    <w:uiPriority w:val="29"/>
    <w:qFormat/>
    <w:rsid w:val="00833008"/>
    <w:pPr>
      <w:spacing w:before="200" w:after="280"/>
      <w:ind w:left="864" w:right="864"/>
      <w:jc w:val="both"/>
    </w:pPr>
    <w:rPr>
      <w:rFonts w:ascii="Times New Roman" w:hAnsi="Times New Roman"/>
      <w:iCs/>
      <w:lang w:val="en-US"/>
    </w:rPr>
  </w:style>
  <w:style w:type="character" w:customStyle="1" w:styleId="QuoteChar">
    <w:name w:val="Quote Char"/>
    <w:basedOn w:val="DefaultParagraphFont"/>
    <w:link w:val="Quote"/>
    <w:uiPriority w:val="29"/>
    <w:rsid w:val="00833008"/>
    <w:rPr>
      <w:rFonts w:ascii="Times New Roman" w:hAnsi="Times New Roman"/>
      <w:iCs/>
    </w:rPr>
  </w:style>
  <w:style w:type="paragraph" w:customStyle="1" w:styleId="Casenames">
    <w:name w:val="Case names"/>
    <w:basedOn w:val="Normal"/>
    <w:link w:val="CasenamesChar"/>
    <w:autoRedefine/>
    <w:qFormat/>
    <w:rsid w:val="00833008"/>
    <w:pPr>
      <w:spacing w:before="60" w:after="0" w:line="276" w:lineRule="auto"/>
      <w:ind w:left="357" w:right="198"/>
      <w:outlineLvl w:val="8"/>
    </w:pPr>
    <w:rPr>
      <w:rFonts w:ascii="Times New Roman" w:eastAsia="SimSun" w:hAnsi="Times New Roman" w:cs="Times New Roman"/>
      <w:i/>
      <w:iCs/>
      <w:sz w:val="19"/>
      <w:szCs w:val="21"/>
      <w:lang w:eastAsia="zh-CN"/>
    </w:rPr>
  </w:style>
  <w:style w:type="character" w:customStyle="1" w:styleId="CasenamesChar">
    <w:name w:val="Case names Char"/>
    <w:basedOn w:val="DefaultParagraphFont"/>
    <w:link w:val="Casenames"/>
    <w:rsid w:val="00833008"/>
    <w:rPr>
      <w:rFonts w:ascii="Times New Roman" w:eastAsia="SimSun" w:hAnsi="Times New Roman" w:cs="Times New Roman"/>
      <w:i/>
      <w:iCs/>
      <w:sz w:val="19"/>
      <w:szCs w:val="21"/>
      <w:lang w:val="en-GB" w:eastAsia="zh-CN"/>
    </w:rPr>
  </w:style>
  <w:style w:type="paragraph" w:customStyle="1" w:styleId="helds">
    <w:name w:val="helds"/>
    <w:basedOn w:val="Normal"/>
    <w:link w:val="heldsChar"/>
    <w:qFormat/>
    <w:rsid w:val="00833008"/>
    <w:pPr>
      <w:numPr>
        <w:numId w:val="5"/>
      </w:numPr>
      <w:spacing w:before="60" w:after="0" w:line="276" w:lineRule="auto"/>
      <w:jc w:val="both"/>
    </w:pPr>
    <w:rPr>
      <w:rFonts w:ascii="Times New Roman" w:eastAsia="Times New Roman" w:hAnsi="Times New Roman" w:cs="Times New Roman"/>
      <w:sz w:val="21"/>
      <w:lang w:val="en-NZ" w:eastAsia="en-GB"/>
    </w:rPr>
  </w:style>
  <w:style w:type="character" w:customStyle="1" w:styleId="heldsChar">
    <w:name w:val="helds Char"/>
    <w:basedOn w:val="DefaultParagraphFont"/>
    <w:link w:val="helds"/>
    <w:rsid w:val="00833008"/>
    <w:rPr>
      <w:rFonts w:ascii="Times New Roman" w:eastAsia="Times New Roman" w:hAnsi="Times New Roman" w:cs="Times New Roman"/>
      <w:sz w:val="21"/>
      <w:lang w:val="en-NZ" w:eastAsia="en-GB"/>
    </w:rPr>
  </w:style>
  <w:style w:type="paragraph" w:customStyle="1" w:styleId="Smallheads">
    <w:name w:val="Small heads"/>
    <w:basedOn w:val="Normal"/>
    <w:link w:val="SmallheadsChar"/>
    <w:autoRedefine/>
    <w:qFormat/>
    <w:rsid w:val="00833008"/>
    <w:pPr>
      <w:keepLines/>
      <w:spacing w:before="240" w:after="0" w:line="240" w:lineRule="auto"/>
      <w:jc w:val="both"/>
    </w:pPr>
    <w:rPr>
      <w:rFonts w:ascii="Times New Roman" w:eastAsia="SimSun" w:hAnsi="Times New Roman" w:cs="Times New Roman"/>
      <w:b/>
      <w:bCs/>
      <w:sz w:val="20"/>
      <w:szCs w:val="24"/>
      <w:lang w:eastAsia="en-GB"/>
    </w:rPr>
  </w:style>
  <w:style w:type="character" w:customStyle="1" w:styleId="SmallheadsChar">
    <w:name w:val="Small heads Char"/>
    <w:basedOn w:val="DefaultParagraphFont"/>
    <w:link w:val="Smallheads"/>
    <w:rsid w:val="00833008"/>
    <w:rPr>
      <w:rFonts w:ascii="Times New Roman" w:eastAsia="SimSun" w:hAnsi="Times New Roman" w:cs="Times New Roman"/>
      <w:b/>
      <w:bCs/>
      <w:sz w:val="20"/>
      <w:szCs w:val="24"/>
      <w:lang w:val="en-GB" w:eastAsia="en-GB"/>
    </w:rPr>
  </w:style>
  <w:style w:type="paragraph" w:customStyle="1" w:styleId="heldsnonnumbered">
    <w:name w:val="helds non numbered"/>
    <w:basedOn w:val="helds"/>
    <w:link w:val="heldsnonnumberedChar"/>
    <w:qFormat/>
    <w:rsid w:val="00833008"/>
    <w:pPr>
      <w:numPr>
        <w:numId w:val="0"/>
      </w:numPr>
    </w:pPr>
    <w:rPr>
      <w:rFonts w:eastAsia="SimSun"/>
    </w:rPr>
  </w:style>
  <w:style w:type="character" w:customStyle="1" w:styleId="heldsnonnumberedChar">
    <w:name w:val="helds non numbered Char"/>
    <w:basedOn w:val="heldsChar"/>
    <w:link w:val="heldsnonnumbered"/>
    <w:rsid w:val="00833008"/>
    <w:rPr>
      <w:rFonts w:ascii="Times New Roman" w:eastAsia="SimSun" w:hAnsi="Times New Roman" w:cs="Times New Roman"/>
      <w:sz w:val="21"/>
      <w:lang w:val="en-NZ" w:eastAsia="en-GB"/>
    </w:rPr>
  </w:style>
  <w:style w:type="paragraph" w:customStyle="1" w:styleId="Numbered">
    <w:name w:val="Numbered"/>
    <w:basedOn w:val="helds"/>
    <w:qFormat/>
    <w:rsid w:val="00833008"/>
    <w:pPr>
      <w:numPr>
        <w:numId w:val="6"/>
      </w:numPr>
      <w:ind w:left="426" w:hanging="426"/>
    </w:pPr>
  </w:style>
  <w:style w:type="paragraph" w:customStyle="1" w:styleId="heldsletters">
    <w:name w:val="helds letters"/>
    <w:basedOn w:val="heldsnonnumbered"/>
    <w:link w:val="heldslettersChar"/>
    <w:qFormat/>
    <w:rsid w:val="00833008"/>
    <w:pPr>
      <w:numPr>
        <w:numId w:val="7"/>
      </w:numPr>
    </w:pPr>
  </w:style>
  <w:style w:type="character" w:customStyle="1" w:styleId="heldslettersChar">
    <w:name w:val="helds letters Char"/>
    <w:basedOn w:val="heldsnonnumberedChar"/>
    <w:link w:val="heldsletters"/>
    <w:rsid w:val="00833008"/>
    <w:rPr>
      <w:rFonts w:ascii="Times New Roman" w:eastAsia="SimSun" w:hAnsi="Times New Roman" w:cs="Times New Roman"/>
      <w:sz w:val="21"/>
      <w:lang w:val="en-NZ" w:eastAsia="en-GB"/>
    </w:rPr>
  </w:style>
  <w:style w:type="character" w:styleId="Hyperlink">
    <w:name w:val="Hyperlink"/>
    <w:basedOn w:val="DefaultParagraphFont"/>
    <w:uiPriority w:val="99"/>
    <w:semiHidden/>
    <w:unhideWhenUsed/>
    <w:rsid w:val="00833008"/>
    <w:rPr>
      <w:color w:val="0000FF"/>
      <w:u w:val="single"/>
    </w:rPr>
  </w:style>
  <w:style w:type="paragraph" w:styleId="NormalWeb">
    <w:name w:val="Normal (Web)"/>
    <w:basedOn w:val="Normal"/>
    <w:uiPriority w:val="99"/>
    <w:unhideWhenUsed/>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indent1">
    <w:name w:val="rteindent1"/>
    <w:basedOn w:val="Normal"/>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33008"/>
    <w:rPr>
      <w:b/>
      <w:bCs/>
    </w:rPr>
  </w:style>
  <w:style w:type="paragraph" w:customStyle="1" w:styleId="scjnormal">
    <w:name w:val="scjnormal"/>
    <w:basedOn w:val="Normal"/>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sCentered">
    <w:name w:val="headings + Centered"/>
    <w:basedOn w:val="Normal"/>
    <w:rsid w:val="00833008"/>
    <w:pPr>
      <w:spacing w:after="0" w:line="240" w:lineRule="auto"/>
      <w:jc w:val="center"/>
    </w:pPr>
    <w:rPr>
      <w:rFonts w:ascii="Times New Roman" w:eastAsia="Times New Roman" w:hAnsi="Times New Roman" w:cs="Times New Roman"/>
      <w:b/>
      <w:bCs/>
      <w:sz w:val="24"/>
      <w:szCs w:val="20"/>
      <w:lang w:val="en-NZ" w:eastAsia="en-GB"/>
    </w:rPr>
  </w:style>
  <w:style w:type="paragraph" w:customStyle="1" w:styleId="estatutes-1-sectionheading">
    <w:name w:val="estatutes-1-sectionheading"/>
    <w:basedOn w:val="Normal"/>
    <w:rsid w:val="00A149E2"/>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6B5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6024"/>
    <w:pPr>
      <w:spacing w:after="0" w:line="240" w:lineRule="auto"/>
    </w:pPr>
    <w:rPr>
      <w:lang w:val="en-GB"/>
    </w:rPr>
  </w:style>
  <w:style w:type="paragraph" w:customStyle="1" w:styleId="estatutes-2-subsection">
    <w:name w:val="estatutes-2-subsection"/>
    <w:basedOn w:val="Normal"/>
    <w:rsid w:val="00F260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esktop\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26DE0-DD78-4DD9-8B0F-568D6206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TEMPLATE.dotx</Template>
  <TotalTime>2</TotalTime>
  <Pages>6</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shena labrosse</cp:lastModifiedBy>
  <cp:revision>4</cp:revision>
  <cp:lastPrinted>2021-10-28T06:20:00Z</cp:lastPrinted>
  <dcterms:created xsi:type="dcterms:W3CDTF">2021-10-28T06:08:00Z</dcterms:created>
  <dcterms:modified xsi:type="dcterms:W3CDTF">2021-10-29T06:38:00Z</dcterms:modified>
</cp:coreProperties>
</file>